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E3" w:rsidRDefault="008D40E9" w:rsidP="00D554E3">
      <w:pPr>
        <w:ind w:right="44"/>
      </w:pPr>
      <w:r w:rsidRPr="00B72AB6"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9pt;width:3in;height:23.05pt;z-index:1" stroked="f">
            <v:textbox style="mso-next-textbox:#_x0000_s1026">
              <w:txbxContent>
                <w:p w:rsidR="000E0B52" w:rsidRPr="009B081D" w:rsidRDefault="000E0B52" w:rsidP="008D40E9">
                  <w:pPr>
                    <w:pStyle w:val="Ttulo2"/>
                    <w:jc w:val="right"/>
                    <w:rPr>
                      <w:rFonts w:ascii="Calibri" w:hAnsi="Calibri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B081D">
                    <w:rPr>
                      <w:rFonts w:ascii="Calibri" w:hAnsi="Calibri" w:cs="Arial"/>
                      <w:sz w:val="28"/>
                      <w:szCs w:val="28"/>
                    </w:rPr>
                    <w:t>COMUNICADO DE PRENSA</w:t>
                  </w:r>
                </w:p>
              </w:txbxContent>
            </v:textbox>
          </v:shape>
        </w:pict>
      </w:r>
      <w:r w:rsidR="00D554E3" w:rsidRPr="00B72AB6">
        <w:rPr>
          <w:rFonts w:ascii="Arial" w:hAnsi="Arial" w:cs="Arial"/>
          <w:b/>
          <w:bCs/>
          <w:noProof/>
          <w:color w:val="000000"/>
          <w:sz w:val="28"/>
          <w:szCs w:val="28"/>
        </w:rPr>
        <w:pict>
          <v:shape id="_x0000_s1027" type="#_x0000_t202" style="position:absolute;margin-left:198pt;margin-top:9pt;width:252pt;height:22.5pt;z-index:2" stroked="f">
            <v:textbox style="mso-next-textbox:#_x0000_s1027">
              <w:txbxContent>
                <w:p w:rsidR="000E0B52" w:rsidRPr="009B081D" w:rsidRDefault="000E0B52" w:rsidP="00D554E3">
                  <w:pPr>
                    <w:jc w:val="right"/>
                    <w:rPr>
                      <w:rFonts w:ascii="Calibri" w:hAnsi="Calibri" w:cs="Arial"/>
                      <w:b/>
                      <w:color w:val="FF0000"/>
                      <w:sz w:val="21"/>
                      <w:szCs w:val="21"/>
                      <w:lang w:val="es-MX"/>
                    </w:rPr>
                  </w:pPr>
                  <w:r w:rsidRPr="009B081D">
                    <w:rPr>
                      <w:rFonts w:ascii="Calibri" w:hAnsi="Calibri" w:cs="Arial"/>
                      <w:b/>
                      <w:sz w:val="21"/>
                      <w:szCs w:val="21"/>
                      <w:lang w:val="es-MX"/>
                    </w:rPr>
                    <w:t xml:space="preserve">Santiago, </w:t>
                  </w:r>
                  <w:r>
                    <w:rPr>
                      <w:rFonts w:ascii="Calibri" w:hAnsi="Calibri" w:cs="Arial"/>
                      <w:b/>
                      <w:sz w:val="21"/>
                      <w:szCs w:val="21"/>
                      <w:lang w:val="es-MX"/>
                    </w:rPr>
                    <w:t xml:space="preserve">jueves 24 de diciembre de  </w:t>
                  </w:r>
                  <w:r w:rsidRPr="009B081D">
                    <w:rPr>
                      <w:rFonts w:ascii="Calibri" w:hAnsi="Calibri" w:cs="Arial"/>
                      <w:b/>
                      <w:sz w:val="21"/>
                      <w:szCs w:val="21"/>
                      <w:lang w:val="es-MX"/>
                    </w:rPr>
                    <w:t>2009</w:t>
                  </w:r>
                </w:p>
              </w:txbxContent>
            </v:textbox>
          </v:shape>
        </w:pict>
      </w:r>
      <w:r w:rsidR="00D554E3" w:rsidRPr="00B72AB6">
        <w:rPr>
          <w:rFonts w:ascii="Arial" w:hAnsi="Arial" w:cs="Arial"/>
          <w:noProof/>
        </w:rPr>
        <w:pict>
          <v:shape id="_x0000_s1028" type="#_x0000_t202" style="position:absolute;margin-left:-2.25pt;margin-top:-18pt;width:94.65pt;height:60.2pt;z-index:3" stroked="f">
            <v:textbox style="mso-next-textbox:#_x0000_s1028">
              <w:txbxContent>
                <w:p w:rsidR="000E0B52" w:rsidRDefault="000E0B52" w:rsidP="00D554E3">
                  <w:pPr>
                    <w:ind w:left="-180"/>
                    <w:jc w:val="center"/>
                  </w:pPr>
                  <w:r w:rsidRPr="00992CC5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9pt;height:54.7pt">
                        <v:imagedata r:id="rId5" o:title="logo_01"/>
                      </v:shape>
                    </w:pict>
                  </w:r>
                </w:p>
              </w:txbxContent>
            </v:textbox>
          </v:shape>
        </w:pict>
      </w:r>
    </w:p>
    <w:p w:rsidR="00D554E3" w:rsidRDefault="00D554E3" w:rsidP="00D554E3">
      <w:pPr>
        <w:ind w:right="44"/>
      </w:pPr>
    </w:p>
    <w:p w:rsidR="00D554E3" w:rsidRPr="00FA220D" w:rsidRDefault="00D554E3" w:rsidP="00906704">
      <w:pPr>
        <w:jc w:val="center"/>
        <w:rPr>
          <w:rFonts w:ascii="Arial" w:hAnsi="Arial" w:cs="Arial"/>
          <w:b/>
          <w:sz w:val="20"/>
          <w:szCs w:val="20"/>
        </w:rPr>
      </w:pPr>
    </w:p>
    <w:p w:rsidR="00D554E3" w:rsidRPr="00625343" w:rsidRDefault="00D554E3" w:rsidP="00D554E3">
      <w:pPr>
        <w:ind w:right="44"/>
        <w:jc w:val="both"/>
        <w:rPr>
          <w:rFonts w:ascii="Arial" w:hAnsi="Arial" w:cs="Arial"/>
          <w:b/>
          <w:sz w:val="8"/>
          <w:szCs w:val="8"/>
        </w:rPr>
      </w:pPr>
    </w:p>
    <w:p w:rsidR="00A12D5F" w:rsidRPr="009F12D2" w:rsidRDefault="00A12D5F" w:rsidP="00D554E3">
      <w:pPr>
        <w:ind w:right="-316"/>
        <w:jc w:val="both"/>
        <w:rPr>
          <w:rFonts w:ascii="Calibri" w:hAnsi="Calibri" w:cs="Arial"/>
          <w:b/>
          <w:sz w:val="20"/>
          <w:szCs w:val="20"/>
        </w:rPr>
      </w:pPr>
    </w:p>
    <w:p w:rsidR="00653C73" w:rsidRDefault="00653C73" w:rsidP="00D554E3">
      <w:pPr>
        <w:ind w:right="-316"/>
        <w:jc w:val="both"/>
        <w:rPr>
          <w:rFonts w:ascii="Calibri" w:hAnsi="Calibri" w:cs="Arial"/>
          <w:b/>
        </w:rPr>
      </w:pPr>
    </w:p>
    <w:p w:rsidR="000E0B52" w:rsidRDefault="000E0B52" w:rsidP="00D554E3">
      <w:pPr>
        <w:ind w:right="-316"/>
        <w:jc w:val="both"/>
        <w:rPr>
          <w:rFonts w:ascii="Calibri" w:hAnsi="Calibri" w:cs="Arial"/>
          <w:b/>
          <w:sz w:val="28"/>
          <w:szCs w:val="28"/>
        </w:rPr>
      </w:pPr>
    </w:p>
    <w:p w:rsidR="00D554E3" w:rsidRDefault="00D554E3" w:rsidP="00D554E3">
      <w:pPr>
        <w:ind w:right="-316"/>
        <w:jc w:val="both"/>
        <w:rPr>
          <w:rFonts w:ascii="Calibri" w:hAnsi="Calibri" w:cs="Arial"/>
          <w:b/>
          <w:sz w:val="28"/>
          <w:szCs w:val="28"/>
        </w:rPr>
      </w:pPr>
      <w:r w:rsidRPr="00CA0A85">
        <w:rPr>
          <w:rFonts w:ascii="Calibri" w:hAnsi="Calibri" w:cs="Arial"/>
          <w:b/>
          <w:sz w:val="28"/>
          <w:szCs w:val="28"/>
        </w:rPr>
        <w:t xml:space="preserve">SCJ </w:t>
      </w:r>
      <w:r w:rsidR="00B3773D" w:rsidRPr="00CA0A85">
        <w:rPr>
          <w:rFonts w:ascii="Calibri" w:hAnsi="Calibri" w:cs="Arial"/>
          <w:b/>
          <w:sz w:val="28"/>
          <w:szCs w:val="28"/>
        </w:rPr>
        <w:t>APRUEBA</w:t>
      </w:r>
      <w:r w:rsidRPr="00CA0A85">
        <w:rPr>
          <w:rFonts w:ascii="Calibri" w:hAnsi="Calibri" w:cs="Arial"/>
          <w:b/>
          <w:sz w:val="28"/>
          <w:szCs w:val="28"/>
        </w:rPr>
        <w:t xml:space="preserve"> SOLICITUD DE PRÓRROGA DE PLAZOS PARA </w:t>
      </w:r>
      <w:smartTag w:uri="urn:schemas-microsoft-com:office:smarttags" w:element="PersonName">
        <w:smartTagPr>
          <w:attr w:name="ProductID" w:val="LA ENTREGA DE OBRAS"/>
        </w:smartTagPr>
        <w:r w:rsidR="001777CE" w:rsidRPr="00CA0A85">
          <w:rPr>
            <w:rFonts w:ascii="Calibri" w:hAnsi="Calibri" w:cs="Arial"/>
            <w:b/>
            <w:sz w:val="28"/>
            <w:szCs w:val="28"/>
          </w:rPr>
          <w:t xml:space="preserve">LA </w:t>
        </w:r>
        <w:r w:rsidRPr="00CA0A85">
          <w:rPr>
            <w:rFonts w:ascii="Calibri" w:hAnsi="Calibri" w:cs="Arial"/>
            <w:b/>
            <w:sz w:val="28"/>
            <w:szCs w:val="28"/>
          </w:rPr>
          <w:t>ENTREGA</w:t>
        </w:r>
        <w:r w:rsidR="001777CE" w:rsidRPr="00CA0A85">
          <w:rPr>
            <w:rFonts w:ascii="Calibri" w:hAnsi="Calibri" w:cs="Arial"/>
            <w:b/>
            <w:sz w:val="28"/>
            <w:szCs w:val="28"/>
          </w:rPr>
          <w:t xml:space="preserve"> DE</w:t>
        </w:r>
        <w:r w:rsidRPr="00CA0A85">
          <w:rPr>
            <w:rFonts w:ascii="Calibri" w:hAnsi="Calibri" w:cs="Arial"/>
            <w:b/>
            <w:sz w:val="28"/>
            <w:szCs w:val="28"/>
          </w:rPr>
          <w:t xml:space="preserve"> OBRAS</w:t>
        </w:r>
      </w:smartTag>
      <w:r w:rsidRPr="00CA0A85">
        <w:rPr>
          <w:rFonts w:ascii="Calibri" w:hAnsi="Calibri" w:cs="Arial"/>
          <w:b/>
          <w:sz w:val="28"/>
          <w:szCs w:val="28"/>
        </w:rPr>
        <w:t xml:space="preserve"> </w:t>
      </w:r>
      <w:r w:rsidR="006C00F4">
        <w:rPr>
          <w:rFonts w:ascii="Calibri" w:hAnsi="Calibri" w:cs="Arial"/>
          <w:b/>
          <w:sz w:val="28"/>
          <w:szCs w:val="28"/>
        </w:rPr>
        <w:t xml:space="preserve">DEL PROYECTO INTEGRAL DEL </w:t>
      </w:r>
      <w:r w:rsidR="00902715" w:rsidRPr="00CA0A85">
        <w:rPr>
          <w:rFonts w:ascii="Calibri" w:hAnsi="Calibri" w:cs="Arial"/>
          <w:b/>
          <w:sz w:val="28"/>
          <w:szCs w:val="28"/>
        </w:rPr>
        <w:t xml:space="preserve">CASINO DE JUEGO DE </w:t>
      </w:r>
      <w:r w:rsidR="00CA0A85">
        <w:rPr>
          <w:rFonts w:ascii="Calibri" w:hAnsi="Calibri" w:cs="Arial"/>
          <w:b/>
          <w:sz w:val="28"/>
          <w:szCs w:val="28"/>
        </w:rPr>
        <w:t>CASTRO</w:t>
      </w:r>
    </w:p>
    <w:p w:rsidR="007860AE" w:rsidRDefault="007860AE" w:rsidP="007860AE">
      <w:pPr>
        <w:ind w:right="-316"/>
        <w:jc w:val="both"/>
        <w:rPr>
          <w:rFonts w:ascii="Calibri" w:hAnsi="Calibri" w:cs="Arial"/>
          <w:b/>
          <w:sz w:val="28"/>
          <w:szCs w:val="28"/>
        </w:rPr>
      </w:pPr>
    </w:p>
    <w:p w:rsidR="00D554E3" w:rsidRPr="007860AE" w:rsidRDefault="007860AE" w:rsidP="007860AE">
      <w:pPr>
        <w:numPr>
          <w:ilvl w:val="0"/>
          <w:numId w:val="6"/>
        </w:numPr>
        <w:ind w:left="426" w:right="-316" w:hanging="426"/>
        <w:jc w:val="both"/>
        <w:rPr>
          <w:rFonts w:ascii="Calibri" w:hAnsi="Calibri" w:cs="Arial"/>
          <w:b/>
          <w:sz w:val="21"/>
          <w:szCs w:val="21"/>
        </w:rPr>
      </w:pPr>
      <w:r w:rsidRPr="007860AE">
        <w:rPr>
          <w:rFonts w:ascii="Calibri" w:hAnsi="Calibri" w:cs="Arial"/>
          <w:b/>
          <w:sz w:val="21"/>
          <w:szCs w:val="21"/>
        </w:rPr>
        <w:t>Cabe recordar que el proyecto autorizado por el Consejo Resolutivo de la SCJ, en agosto de 2008, comprometió con la Región de Los Lagos una inversión total de US$ 38,7 millones y la generación de 425 empleos directos.</w:t>
      </w:r>
    </w:p>
    <w:p w:rsidR="007860AE" w:rsidRPr="00A12D5F" w:rsidRDefault="007860AE" w:rsidP="00D554E3">
      <w:pPr>
        <w:ind w:right="-316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0E0B52" w:rsidRDefault="00B3773D" w:rsidP="000E0B52">
      <w:pPr>
        <w:tabs>
          <w:tab w:val="num" w:pos="-3420"/>
        </w:tabs>
        <w:ind w:right="-316"/>
        <w:jc w:val="both"/>
        <w:rPr>
          <w:rFonts w:ascii="Calibri" w:hAnsi="Calibri" w:cs="Arial"/>
          <w:color w:val="000000"/>
          <w:sz w:val="21"/>
          <w:szCs w:val="21"/>
        </w:rPr>
      </w:pPr>
      <w:r w:rsidRPr="00920F75">
        <w:rPr>
          <w:rFonts w:ascii="Calibri" w:hAnsi="Calibri" w:cs="Arial"/>
          <w:color w:val="000000"/>
          <w:sz w:val="21"/>
          <w:szCs w:val="21"/>
        </w:rPr>
        <w:t>La Superintendencia d</w:t>
      </w:r>
      <w:r>
        <w:rPr>
          <w:rFonts w:ascii="Calibri" w:hAnsi="Calibri" w:cs="Arial"/>
          <w:color w:val="000000"/>
          <w:sz w:val="21"/>
          <w:szCs w:val="21"/>
        </w:rPr>
        <w:t xml:space="preserve">e Casinos de Juego (SCJ) autorizó a </w:t>
      </w:r>
      <w:r w:rsidR="00582988">
        <w:rPr>
          <w:rFonts w:ascii="Calibri" w:hAnsi="Calibri" w:cs="Arial"/>
          <w:color w:val="000000"/>
          <w:sz w:val="21"/>
          <w:szCs w:val="21"/>
        </w:rPr>
        <w:t>Rantrur S.A.</w:t>
      </w:r>
      <w:r>
        <w:rPr>
          <w:rFonts w:ascii="Calibri" w:hAnsi="Calibri" w:cs="Arial"/>
          <w:color w:val="000000"/>
          <w:sz w:val="21"/>
          <w:szCs w:val="21"/>
        </w:rPr>
        <w:t xml:space="preserve"> (</w:t>
      </w:r>
      <w:r w:rsidR="00582988">
        <w:rPr>
          <w:rFonts w:ascii="Calibri" w:hAnsi="Calibri" w:cs="Arial"/>
          <w:color w:val="000000"/>
          <w:sz w:val="21"/>
          <w:szCs w:val="21"/>
        </w:rPr>
        <w:t>Enjoy</w:t>
      </w:r>
      <w:r>
        <w:rPr>
          <w:rFonts w:ascii="Calibri" w:hAnsi="Calibri" w:cs="Arial"/>
          <w:color w:val="000000"/>
          <w:sz w:val="21"/>
          <w:szCs w:val="21"/>
        </w:rPr>
        <w:t xml:space="preserve">) </w:t>
      </w:r>
      <w:r w:rsidR="00BD2DAA">
        <w:rPr>
          <w:rFonts w:ascii="Calibri" w:hAnsi="Calibri" w:cs="Arial"/>
          <w:color w:val="000000"/>
          <w:sz w:val="21"/>
          <w:szCs w:val="21"/>
        </w:rPr>
        <w:t xml:space="preserve">una prórroga </w:t>
      </w:r>
      <w:r w:rsidR="000474D1">
        <w:rPr>
          <w:rFonts w:ascii="Calibri" w:hAnsi="Calibri" w:cs="Arial"/>
          <w:color w:val="000000"/>
          <w:sz w:val="21"/>
          <w:szCs w:val="21"/>
        </w:rPr>
        <w:t xml:space="preserve">de plazos </w:t>
      </w:r>
      <w:r w:rsidR="00BD2DAA">
        <w:rPr>
          <w:rFonts w:ascii="Calibri" w:hAnsi="Calibri" w:cs="Arial"/>
          <w:color w:val="000000"/>
          <w:sz w:val="21"/>
          <w:szCs w:val="21"/>
        </w:rPr>
        <w:t xml:space="preserve">para concluir </w:t>
      </w:r>
      <w:r w:rsidR="007860AE">
        <w:rPr>
          <w:rFonts w:ascii="Calibri" w:hAnsi="Calibri" w:cs="Arial"/>
          <w:color w:val="000000"/>
          <w:sz w:val="21"/>
          <w:szCs w:val="21"/>
        </w:rPr>
        <w:t xml:space="preserve">el casino de </w:t>
      </w:r>
      <w:r w:rsidR="000E0B52">
        <w:rPr>
          <w:rFonts w:ascii="Calibri" w:hAnsi="Calibri" w:cs="Arial"/>
          <w:color w:val="000000"/>
          <w:sz w:val="21"/>
          <w:szCs w:val="21"/>
        </w:rPr>
        <w:t xml:space="preserve">juego </w:t>
      </w:r>
      <w:r w:rsidR="00A63D99">
        <w:rPr>
          <w:rFonts w:ascii="Calibri" w:hAnsi="Calibri" w:cs="Arial"/>
          <w:color w:val="000000"/>
          <w:sz w:val="21"/>
          <w:szCs w:val="21"/>
        </w:rPr>
        <w:t xml:space="preserve">de Castro </w:t>
      </w:r>
      <w:r w:rsidR="000E0B52">
        <w:rPr>
          <w:rFonts w:ascii="Calibri" w:hAnsi="Calibri" w:cs="Arial"/>
          <w:color w:val="000000"/>
          <w:sz w:val="21"/>
          <w:szCs w:val="21"/>
        </w:rPr>
        <w:t xml:space="preserve">y el resto de las obras que conforman el proyecto integral, </w:t>
      </w:r>
      <w:r w:rsidR="000474D1">
        <w:rPr>
          <w:rFonts w:ascii="Calibri" w:hAnsi="Calibri" w:cs="Arial"/>
          <w:color w:val="000000"/>
          <w:sz w:val="21"/>
          <w:szCs w:val="21"/>
        </w:rPr>
        <w:t xml:space="preserve">por lo que la nueva fecha de </w:t>
      </w:r>
      <w:r w:rsidR="0008211A">
        <w:rPr>
          <w:rFonts w:ascii="Calibri" w:hAnsi="Calibri" w:cs="Arial"/>
          <w:color w:val="000000"/>
          <w:sz w:val="21"/>
          <w:szCs w:val="21"/>
        </w:rPr>
        <w:t xml:space="preserve">entrega </w:t>
      </w:r>
      <w:r w:rsidR="000E0B52">
        <w:rPr>
          <w:rFonts w:ascii="Calibri" w:hAnsi="Calibri" w:cs="Arial"/>
          <w:color w:val="000000"/>
          <w:sz w:val="21"/>
          <w:szCs w:val="21"/>
        </w:rPr>
        <w:t>del casino de juego vence el 8 de mayo de 2011 y de sus obras complementarias el</w:t>
      </w:r>
      <w:r w:rsidR="000E0B52" w:rsidRPr="000E0B52">
        <w:rPr>
          <w:rFonts w:ascii="Calibri" w:hAnsi="Calibri" w:cs="Arial"/>
          <w:color w:val="000000"/>
          <w:sz w:val="21"/>
          <w:szCs w:val="21"/>
        </w:rPr>
        <w:t xml:space="preserve"> </w:t>
      </w:r>
      <w:r w:rsidR="008531FA">
        <w:rPr>
          <w:rFonts w:ascii="Calibri" w:hAnsi="Calibri" w:cs="Arial"/>
          <w:color w:val="000000"/>
          <w:sz w:val="21"/>
          <w:szCs w:val="21"/>
        </w:rPr>
        <w:t>8 de septiembre</w:t>
      </w:r>
      <w:r w:rsidR="000E0B52">
        <w:rPr>
          <w:rFonts w:ascii="Calibri" w:hAnsi="Calibri" w:cs="Arial"/>
          <w:color w:val="000000"/>
          <w:sz w:val="21"/>
          <w:szCs w:val="21"/>
        </w:rPr>
        <w:t xml:space="preserve"> de </w:t>
      </w:r>
      <w:r w:rsidR="000E0B52" w:rsidRPr="00BB2B00">
        <w:rPr>
          <w:rFonts w:ascii="Calibri" w:hAnsi="Calibri" w:cs="Arial"/>
          <w:color w:val="000000"/>
          <w:sz w:val="21"/>
          <w:szCs w:val="21"/>
        </w:rPr>
        <w:t>201</w:t>
      </w:r>
      <w:r w:rsidR="000E0B52">
        <w:rPr>
          <w:rFonts w:ascii="Calibri" w:hAnsi="Calibri" w:cs="Arial"/>
          <w:color w:val="000000"/>
          <w:sz w:val="21"/>
          <w:szCs w:val="21"/>
        </w:rPr>
        <w:t>2</w:t>
      </w:r>
      <w:r w:rsidR="000E0B52" w:rsidRPr="00BB2B00">
        <w:rPr>
          <w:rFonts w:ascii="Calibri" w:hAnsi="Calibri" w:cs="Arial"/>
          <w:color w:val="000000"/>
          <w:sz w:val="21"/>
          <w:szCs w:val="21"/>
        </w:rPr>
        <w:t xml:space="preserve"> </w:t>
      </w:r>
      <w:r w:rsidR="000E0B52">
        <w:rPr>
          <w:rFonts w:ascii="Calibri" w:hAnsi="Calibri" w:cs="Arial"/>
          <w:color w:val="000000"/>
          <w:sz w:val="21"/>
          <w:szCs w:val="21"/>
        </w:rPr>
        <w:t>(ver anexo).</w:t>
      </w:r>
    </w:p>
    <w:p w:rsidR="000E0B52" w:rsidRDefault="000E0B52" w:rsidP="000E0B52">
      <w:pPr>
        <w:tabs>
          <w:tab w:val="num" w:pos="-3420"/>
        </w:tabs>
        <w:ind w:right="-316"/>
        <w:jc w:val="both"/>
        <w:rPr>
          <w:rFonts w:ascii="Calibri" w:hAnsi="Calibri" w:cs="Arial"/>
          <w:color w:val="000000"/>
          <w:sz w:val="21"/>
          <w:szCs w:val="21"/>
        </w:rPr>
      </w:pPr>
    </w:p>
    <w:p w:rsidR="000E0B52" w:rsidRPr="000E0B52" w:rsidRDefault="000E0B52" w:rsidP="000E0B52">
      <w:pPr>
        <w:tabs>
          <w:tab w:val="num" w:pos="-3420"/>
        </w:tabs>
        <w:ind w:right="-316"/>
        <w:jc w:val="both"/>
        <w:rPr>
          <w:rFonts w:ascii="Calibri" w:hAnsi="Calibri" w:cs="Arial"/>
          <w:color w:val="000000"/>
          <w:sz w:val="21"/>
          <w:szCs w:val="21"/>
        </w:rPr>
      </w:pPr>
      <w:r w:rsidRPr="00BB2B00">
        <w:rPr>
          <w:rFonts w:ascii="Calibri" w:hAnsi="Calibri" w:cs="Arial"/>
          <w:sz w:val="21"/>
          <w:szCs w:val="21"/>
        </w:rPr>
        <w:t>Cabe recordar que el proyecto autorizado por el Consejo Resolutivo de la SCJ</w:t>
      </w:r>
      <w:r>
        <w:rPr>
          <w:rFonts w:ascii="Calibri" w:hAnsi="Calibri" w:cs="Arial"/>
          <w:sz w:val="21"/>
          <w:szCs w:val="21"/>
        </w:rPr>
        <w:t>,</w:t>
      </w:r>
      <w:r w:rsidRPr="00BB2B00">
        <w:rPr>
          <w:rFonts w:ascii="Calibri" w:hAnsi="Calibri" w:cs="Arial"/>
          <w:sz w:val="21"/>
          <w:szCs w:val="21"/>
        </w:rPr>
        <w:t xml:space="preserve"> en agosto de 2008, comprometió con la Región de Los Lagos una inversión total de US$ 38,7 millones y la gen</w:t>
      </w:r>
      <w:r>
        <w:rPr>
          <w:rFonts w:ascii="Calibri" w:hAnsi="Calibri" w:cs="Arial"/>
          <w:sz w:val="21"/>
          <w:szCs w:val="21"/>
        </w:rPr>
        <w:t>eración de 425 empleos directos</w:t>
      </w:r>
      <w:r w:rsidRPr="00BB2B00">
        <w:rPr>
          <w:rFonts w:ascii="Calibri" w:hAnsi="Calibri" w:cs="Arial"/>
          <w:sz w:val="21"/>
          <w:szCs w:val="21"/>
        </w:rPr>
        <w:t xml:space="preserve">. </w:t>
      </w:r>
      <w:r>
        <w:rPr>
          <w:rFonts w:ascii="Calibri" w:hAnsi="Calibri" w:cs="Arial"/>
          <w:sz w:val="21"/>
          <w:szCs w:val="21"/>
        </w:rPr>
        <w:t>Considera un ca</w:t>
      </w:r>
      <w:r w:rsidRPr="00BB2B00">
        <w:rPr>
          <w:rFonts w:ascii="Calibri" w:hAnsi="Calibri" w:cs="Arial"/>
          <w:sz w:val="21"/>
          <w:szCs w:val="21"/>
        </w:rPr>
        <w:t>sino de juego con la instalación de 230 máquinas de azar, 16 mesas de juego y 72 posiciones de bingo; las obras que complementan la oferta turística de la zona, contemplan un hotel 5 estrellas con 64 habitaciones, centro de convenciones, salón de espectáculos, restaurante, sala multicine, sala de teatro, sala de exposiciones, museo, centro de artesanías,  centro deportivo, centro interactivo infantil y parque urbano, entre otras.</w:t>
      </w:r>
    </w:p>
    <w:p w:rsidR="006649E9" w:rsidRDefault="006649E9" w:rsidP="006649E9">
      <w:pPr>
        <w:tabs>
          <w:tab w:val="num" w:pos="-3420"/>
        </w:tabs>
        <w:ind w:right="-316"/>
        <w:jc w:val="both"/>
        <w:rPr>
          <w:rFonts w:ascii="Calibri" w:hAnsi="Calibri" w:cs="Arial"/>
          <w:color w:val="000000"/>
          <w:sz w:val="21"/>
          <w:szCs w:val="21"/>
        </w:rPr>
      </w:pPr>
    </w:p>
    <w:p w:rsidR="004A4219" w:rsidRDefault="006649E9" w:rsidP="006649E9">
      <w:pPr>
        <w:tabs>
          <w:tab w:val="num" w:pos="-3420"/>
        </w:tabs>
        <w:ind w:right="-316"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 xml:space="preserve">La aprobación de la prórroga de plazos se otorga luego de que la SCJ analizara </w:t>
      </w:r>
      <w:r w:rsidRPr="0004121C">
        <w:rPr>
          <w:rFonts w:ascii="Calibri" w:hAnsi="Calibri" w:cs="Arial"/>
          <w:color w:val="000000"/>
          <w:sz w:val="21"/>
          <w:szCs w:val="21"/>
        </w:rPr>
        <w:t xml:space="preserve">los argumentos </w:t>
      </w:r>
      <w:r w:rsidR="004A4219">
        <w:rPr>
          <w:rFonts w:ascii="Calibri" w:hAnsi="Calibri" w:cs="Arial"/>
          <w:color w:val="000000"/>
          <w:sz w:val="21"/>
          <w:szCs w:val="21"/>
        </w:rPr>
        <w:t xml:space="preserve">presentados por Rantrur S.A. </w:t>
      </w:r>
      <w:r w:rsidR="003705AC">
        <w:rPr>
          <w:rFonts w:ascii="Calibri" w:hAnsi="Calibri" w:cs="Arial"/>
          <w:color w:val="000000"/>
          <w:sz w:val="21"/>
          <w:szCs w:val="21"/>
        </w:rPr>
        <w:t xml:space="preserve">(Enjoy) </w:t>
      </w:r>
      <w:r w:rsidR="004A4219">
        <w:rPr>
          <w:rFonts w:ascii="Calibri" w:hAnsi="Calibri" w:cs="Arial"/>
          <w:color w:val="000000"/>
          <w:sz w:val="21"/>
          <w:szCs w:val="21"/>
        </w:rPr>
        <w:t xml:space="preserve">referidos a que </w:t>
      </w:r>
      <w:r w:rsidR="005E2418">
        <w:rPr>
          <w:rFonts w:ascii="Calibri" w:hAnsi="Calibri" w:cs="Arial"/>
          <w:color w:val="000000"/>
          <w:sz w:val="21"/>
          <w:szCs w:val="21"/>
        </w:rPr>
        <w:t>la sociedad operadora ha</w:t>
      </w:r>
      <w:r w:rsidR="004A4219">
        <w:rPr>
          <w:rFonts w:ascii="Calibri" w:hAnsi="Calibri" w:cs="Arial"/>
          <w:color w:val="000000"/>
          <w:sz w:val="21"/>
          <w:szCs w:val="21"/>
        </w:rPr>
        <w:t xml:space="preserve"> tenido </w:t>
      </w:r>
      <w:r w:rsidR="005E2418">
        <w:rPr>
          <w:rFonts w:ascii="Calibri" w:hAnsi="Calibri" w:cs="Arial"/>
          <w:color w:val="000000"/>
          <w:sz w:val="21"/>
          <w:szCs w:val="21"/>
        </w:rPr>
        <w:t xml:space="preserve">demoras </w:t>
      </w:r>
      <w:r w:rsidR="00653E48">
        <w:rPr>
          <w:rFonts w:ascii="Calibri" w:hAnsi="Calibri" w:cs="Arial"/>
          <w:color w:val="000000"/>
          <w:sz w:val="21"/>
          <w:szCs w:val="21"/>
        </w:rPr>
        <w:t xml:space="preserve">para obtener el financiamiento del </w:t>
      </w:r>
      <w:r w:rsidR="00653C73">
        <w:rPr>
          <w:rFonts w:ascii="Calibri" w:hAnsi="Calibri" w:cs="Arial"/>
          <w:color w:val="000000"/>
          <w:sz w:val="21"/>
          <w:szCs w:val="21"/>
        </w:rPr>
        <w:t xml:space="preserve">resto de las obras que conforman el proyecto integral de casino de juego, </w:t>
      </w:r>
      <w:r w:rsidR="008531FA">
        <w:rPr>
          <w:rFonts w:ascii="Calibri" w:hAnsi="Calibri" w:cs="Arial"/>
          <w:color w:val="000000"/>
          <w:sz w:val="21"/>
          <w:szCs w:val="21"/>
        </w:rPr>
        <w:t xml:space="preserve">debido a las restricciones crediticias que actualmente </w:t>
      </w:r>
      <w:r w:rsidR="00653E48">
        <w:rPr>
          <w:rFonts w:ascii="Calibri" w:hAnsi="Calibri" w:cs="Arial"/>
          <w:color w:val="000000"/>
          <w:sz w:val="21"/>
          <w:szCs w:val="21"/>
        </w:rPr>
        <w:t xml:space="preserve">se aplica </w:t>
      </w:r>
      <w:r w:rsidR="008531FA">
        <w:rPr>
          <w:rFonts w:ascii="Calibri" w:hAnsi="Calibri" w:cs="Arial"/>
          <w:color w:val="000000"/>
          <w:sz w:val="21"/>
          <w:szCs w:val="21"/>
        </w:rPr>
        <w:t xml:space="preserve">a los proyectos </w:t>
      </w:r>
      <w:r w:rsidR="00653E48">
        <w:rPr>
          <w:rFonts w:ascii="Calibri" w:hAnsi="Calibri" w:cs="Arial"/>
          <w:color w:val="000000"/>
          <w:sz w:val="21"/>
          <w:szCs w:val="21"/>
        </w:rPr>
        <w:t xml:space="preserve">de la zona de </w:t>
      </w:r>
      <w:r w:rsidR="008531FA">
        <w:rPr>
          <w:rFonts w:ascii="Calibri" w:hAnsi="Calibri" w:cs="Arial"/>
          <w:color w:val="000000"/>
          <w:sz w:val="21"/>
          <w:szCs w:val="21"/>
        </w:rPr>
        <w:t xml:space="preserve">Chiloé </w:t>
      </w:r>
      <w:r w:rsidR="004A4219">
        <w:rPr>
          <w:rFonts w:ascii="Calibri" w:hAnsi="Calibri" w:cs="Arial"/>
          <w:color w:val="000000"/>
          <w:sz w:val="21"/>
          <w:szCs w:val="21"/>
        </w:rPr>
        <w:t xml:space="preserve">como consecuencia de la crisis salmonera </w:t>
      </w:r>
      <w:r w:rsidR="004A4219" w:rsidRPr="0004121C">
        <w:rPr>
          <w:rFonts w:ascii="Calibri" w:hAnsi="Calibri" w:cs="Arial"/>
          <w:color w:val="000000"/>
          <w:sz w:val="21"/>
          <w:szCs w:val="21"/>
        </w:rPr>
        <w:t>y subprime</w:t>
      </w:r>
      <w:r w:rsidR="004A4219">
        <w:rPr>
          <w:rFonts w:ascii="Calibri" w:hAnsi="Calibri" w:cs="Arial"/>
          <w:color w:val="000000"/>
          <w:sz w:val="21"/>
          <w:szCs w:val="21"/>
        </w:rPr>
        <w:t>,</w:t>
      </w:r>
      <w:r w:rsidR="00653C73">
        <w:rPr>
          <w:rFonts w:ascii="Calibri" w:hAnsi="Calibri" w:cs="Arial"/>
          <w:color w:val="000000"/>
          <w:sz w:val="21"/>
          <w:szCs w:val="21"/>
        </w:rPr>
        <w:t xml:space="preserve"> por lo que requieren de un plazo adicional para </w:t>
      </w:r>
      <w:r w:rsidR="005E2418">
        <w:rPr>
          <w:rFonts w:ascii="Calibri" w:hAnsi="Calibri" w:cs="Arial"/>
          <w:color w:val="000000"/>
          <w:sz w:val="21"/>
          <w:szCs w:val="21"/>
        </w:rPr>
        <w:t>la</w:t>
      </w:r>
      <w:r w:rsidR="00653C73">
        <w:rPr>
          <w:rFonts w:ascii="Calibri" w:hAnsi="Calibri" w:cs="Arial"/>
          <w:color w:val="000000"/>
          <w:sz w:val="21"/>
          <w:szCs w:val="21"/>
        </w:rPr>
        <w:t xml:space="preserve"> </w:t>
      </w:r>
      <w:r w:rsidR="005E2418">
        <w:rPr>
          <w:rFonts w:ascii="Calibri" w:hAnsi="Calibri" w:cs="Arial"/>
          <w:color w:val="000000"/>
          <w:sz w:val="21"/>
          <w:szCs w:val="21"/>
        </w:rPr>
        <w:t>construcción de dichas instalaciones.</w:t>
      </w:r>
    </w:p>
    <w:p w:rsidR="004A4219" w:rsidRDefault="004A4219" w:rsidP="006649E9">
      <w:pPr>
        <w:tabs>
          <w:tab w:val="num" w:pos="-3420"/>
        </w:tabs>
        <w:ind w:right="-316"/>
        <w:jc w:val="both"/>
        <w:rPr>
          <w:rFonts w:ascii="Calibri" w:hAnsi="Calibri" w:cs="Arial"/>
          <w:color w:val="000000"/>
          <w:sz w:val="21"/>
          <w:szCs w:val="21"/>
        </w:rPr>
      </w:pPr>
    </w:p>
    <w:p w:rsidR="00D142C1" w:rsidRPr="00920F75" w:rsidRDefault="00B3773D" w:rsidP="00D554E3">
      <w:pPr>
        <w:tabs>
          <w:tab w:val="num" w:pos="-3420"/>
        </w:tabs>
        <w:ind w:right="-316"/>
        <w:jc w:val="both"/>
        <w:rPr>
          <w:rFonts w:ascii="Calibri" w:hAnsi="Calibri" w:cs="Arial"/>
          <w:color w:val="000000"/>
          <w:sz w:val="10"/>
          <w:szCs w:val="10"/>
        </w:rPr>
      </w:pPr>
      <w:r>
        <w:rPr>
          <w:rFonts w:ascii="Calibri" w:hAnsi="Calibri" w:cs="Arial"/>
          <w:color w:val="000000"/>
          <w:sz w:val="21"/>
          <w:szCs w:val="21"/>
        </w:rPr>
        <w:t>Cabe recordar que</w:t>
      </w:r>
      <w:r w:rsidR="00D554E3" w:rsidRPr="00920F75">
        <w:rPr>
          <w:rFonts w:ascii="Calibri" w:hAnsi="Calibri" w:cs="Arial"/>
          <w:color w:val="000000"/>
          <w:sz w:val="21"/>
          <w:szCs w:val="21"/>
        </w:rPr>
        <w:t xml:space="preserve"> Ley N°19.995 permite que las sociedades operadoras soliciten a la SCJ la aprobación de </w:t>
      </w:r>
      <w:r w:rsidR="00D554E3" w:rsidRPr="00920F75">
        <w:rPr>
          <w:rFonts w:ascii="Calibri" w:hAnsi="Calibri" w:cs="Arial"/>
          <w:bCs/>
          <w:color w:val="000000"/>
          <w:sz w:val="21"/>
          <w:szCs w:val="21"/>
        </w:rPr>
        <w:t>prórrogas</w:t>
      </w:r>
      <w:r w:rsidR="00D142C1" w:rsidRPr="00920F75">
        <w:rPr>
          <w:rFonts w:ascii="Calibri" w:hAnsi="Calibri" w:cs="Arial"/>
          <w:bCs/>
          <w:color w:val="000000"/>
          <w:sz w:val="21"/>
          <w:szCs w:val="21"/>
        </w:rPr>
        <w:t>,</w:t>
      </w:r>
      <w:r w:rsidR="00D554E3" w:rsidRPr="00920F75">
        <w:rPr>
          <w:rFonts w:ascii="Calibri" w:hAnsi="Calibri" w:cs="Arial"/>
          <w:bCs/>
          <w:color w:val="000000"/>
          <w:sz w:val="21"/>
          <w:szCs w:val="21"/>
        </w:rPr>
        <w:t xml:space="preserve"> conforme a razones fundadas y por un periodo que no puede exceder un tercio de los plazos</w:t>
      </w:r>
      <w:r w:rsidR="00D142C1" w:rsidRPr="00920F75">
        <w:rPr>
          <w:rFonts w:ascii="Calibri" w:hAnsi="Calibri" w:cs="Arial"/>
          <w:bCs/>
          <w:color w:val="000000"/>
          <w:sz w:val="21"/>
          <w:szCs w:val="21"/>
        </w:rPr>
        <w:t xml:space="preserve"> </w:t>
      </w:r>
      <w:r w:rsidR="00D554E3" w:rsidRPr="00920F75">
        <w:rPr>
          <w:rFonts w:ascii="Calibri" w:hAnsi="Calibri" w:cs="Arial"/>
          <w:bCs/>
          <w:color w:val="000000"/>
          <w:sz w:val="21"/>
          <w:szCs w:val="21"/>
        </w:rPr>
        <w:t>comprometidos origina</w:t>
      </w:r>
      <w:r w:rsidR="007860AE">
        <w:rPr>
          <w:rFonts w:ascii="Calibri" w:hAnsi="Calibri" w:cs="Arial"/>
          <w:bCs/>
          <w:color w:val="000000"/>
          <w:sz w:val="21"/>
          <w:szCs w:val="21"/>
        </w:rPr>
        <w:t xml:space="preserve">lmente en el plan de operación </w:t>
      </w:r>
      <w:r w:rsidR="00D554E3" w:rsidRPr="00920F75">
        <w:rPr>
          <w:rFonts w:ascii="Calibri" w:hAnsi="Calibri" w:cs="Arial"/>
          <w:bCs/>
          <w:color w:val="000000"/>
          <w:sz w:val="21"/>
          <w:szCs w:val="21"/>
        </w:rPr>
        <w:t xml:space="preserve">de cada proyecto </w:t>
      </w:r>
      <w:r w:rsidR="00D554E3" w:rsidRPr="00A12D5F">
        <w:rPr>
          <w:rFonts w:ascii="Calibri" w:hAnsi="Calibri" w:cs="Arial"/>
          <w:color w:val="000000"/>
          <w:sz w:val="21"/>
          <w:szCs w:val="21"/>
        </w:rPr>
        <w:t xml:space="preserve">(artículos 28, Ley N°19.995; y 37, D.S. N°211). </w:t>
      </w:r>
    </w:p>
    <w:p w:rsidR="001777CE" w:rsidRPr="00920F75" w:rsidRDefault="001777CE" w:rsidP="00D554E3">
      <w:pPr>
        <w:tabs>
          <w:tab w:val="num" w:pos="-3420"/>
        </w:tabs>
        <w:ind w:right="-316"/>
        <w:jc w:val="both"/>
        <w:rPr>
          <w:rFonts w:ascii="Calibri" w:hAnsi="Calibri" w:cs="Arial"/>
          <w:color w:val="000000"/>
          <w:sz w:val="10"/>
          <w:szCs w:val="10"/>
        </w:rPr>
      </w:pPr>
    </w:p>
    <w:p w:rsidR="00D554E3" w:rsidRPr="00920F75" w:rsidRDefault="00B3773D" w:rsidP="00D554E3">
      <w:pPr>
        <w:tabs>
          <w:tab w:val="num" w:pos="-3420"/>
        </w:tabs>
        <w:ind w:right="44"/>
        <w:jc w:val="both"/>
        <w:rPr>
          <w:rFonts w:ascii="Calibri" w:hAnsi="Calibri" w:cs="Arial"/>
          <w:color w:val="000000"/>
          <w:sz w:val="21"/>
          <w:szCs w:val="21"/>
        </w:rPr>
      </w:pPr>
      <w:r w:rsidRPr="00920F75">
        <w:rPr>
          <w:rFonts w:ascii="Calibri" w:hAnsi="Calibri" w:cs="Arial"/>
          <w:noProof/>
          <w:color w:val="000000"/>
          <w:sz w:val="21"/>
          <w:szCs w:val="21"/>
        </w:rPr>
        <w:pict>
          <v:shape id="_x0000_s1029" type="#_x0000_t202" style="position:absolute;left:0;text-align:left;margin-left:-6.75pt;margin-top:9.3pt;width:227pt;height:62.05pt;z-index:4;mso-wrap-style:none" stroked="f">
            <v:textbox style="mso-next-textbox:#_x0000_s1029">
              <w:txbxContent>
                <w:p w:rsidR="000E0B52" w:rsidRPr="00464087" w:rsidRDefault="000E0B52" w:rsidP="00D554E3">
                  <w:pPr>
                    <w:tabs>
                      <w:tab w:val="num" w:pos="-3420"/>
                    </w:tabs>
                    <w:ind w:right="-676"/>
                    <w:rPr>
                      <w:rFonts w:ascii="Calibri" w:hAnsi="Calibri" w:cs="Arial"/>
                      <w:b/>
                      <w:sz w:val="21"/>
                      <w:szCs w:val="21"/>
                    </w:rPr>
                  </w:pPr>
                  <w:r w:rsidRPr="00464087">
                    <w:rPr>
                      <w:rFonts w:ascii="Calibri" w:hAnsi="Calibri" w:cs="Arial"/>
                      <w:b/>
                      <w:sz w:val="21"/>
                      <w:szCs w:val="21"/>
                    </w:rPr>
                    <w:t>UNIDAD DE COMUNICACIONES</w:t>
                  </w:r>
                </w:p>
                <w:p w:rsidR="000E0B52" w:rsidRPr="00464087" w:rsidRDefault="000E0B52" w:rsidP="00D554E3">
                  <w:pPr>
                    <w:tabs>
                      <w:tab w:val="num" w:pos="-3420"/>
                    </w:tabs>
                    <w:ind w:right="-676"/>
                    <w:rPr>
                      <w:rFonts w:ascii="Calibri" w:hAnsi="Calibri" w:cs="Arial"/>
                      <w:b/>
                      <w:sz w:val="21"/>
                      <w:szCs w:val="21"/>
                    </w:rPr>
                  </w:pPr>
                  <w:r w:rsidRPr="00464087">
                    <w:rPr>
                      <w:rFonts w:ascii="Calibri" w:hAnsi="Calibri" w:cs="Arial"/>
                      <w:b/>
                      <w:sz w:val="21"/>
                      <w:szCs w:val="21"/>
                    </w:rPr>
                    <w:t>SUPERINTENDENCIA DE CASINOS DE JUEGO (SCJ)</w:t>
                  </w:r>
                </w:p>
                <w:p w:rsidR="000E0B52" w:rsidRPr="00464087" w:rsidRDefault="000E0B52" w:rsidP="00D554E3">
                  <w:pPr>
                    <w:tabs>
                      <w:tab w:val="num" w:pos="-3420"/>
                    </w:tabs>
                    <w:ind w:right="-676"/>
                    <w:rPr>
                      <w:rFonts w:ascii="Calibri" w:hAnsi="Calibri" w:cs="Arial"/>
                      <w:b/>
                      <w:sz w:val="21"/>
                      <w:szCs w:val="21"/>
                    </w:rPr>
                  </w:pPr>
                  <w:r w:rsidRPr="00464087">
                    <w:rPr>
                      <w:rFonts w:ascii="Calibri" w:hAnsi="Calibri" w:cs="Arial"/>
                      <w:b/>
                      <w:sz w:val="21"/>
                      <w:szCs w:val="21"/>
                    </w:rPr>
                    <w:t>Fonos: 589 3004 – 3010</w:t>
                  </w:r>
                </w:p>
                <w:p w:rsidR="000E0B52" w:rsidRPr="00464087" w:rsidRDefault="000E0B52" w:rsidP="00D554E3">
                  <w:pPr>
                    <w:tabs>
                      <w:tab w:val="num" w:pos="-3420"/>
                    </w:tabs>
                    <w:ind w:right="-676"/>
                    <w:rPr>
                      <w:rFonts w:ascii="Calibri" w:hAnsi="Calibri" w:cs="Arial"/>
                      <w:b/>
                      <w:sz w:val="21"/>
                      <w:szCs w:val="21"/>
                    </w:rPr>
                  </w:pPr>
                  <w:hyperlink r:id="rId6" w:history="1">
                    <w:r w:rsidRPr="00464087">
                      <w:rPr>
                        <w:rStyle w:val="Hipervnculo"/>
                        <w:rFonts w:ascii="Calibri" w:hAnsi="Calibri" w:cs="Arial"/>
                        <w:b/>
                        <w:sz w:val="21"/>
                        <w:szCs w:val="21"/>
                      </w:rPr>
                      <w:t>www.scj.cl</w:t>
                    </w:r>
                  </w:hyperlink>
                </w:p>
                <w:p w:rsidR="000E0B52" w:rsidRDefault="000E0B52" w:rsidP="00D554E3">
                  <w:pPr>
                    <w:tabs>
                      <w:tab w:val="num" w:pos="-3420"/>
                    </w:tabs>
                    <w:ind w:right="-6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  <w:p w:rsidR="000E0B52" w:rsidRPr="00BF7391" w:rsidRDefault="000E0B52" w:rsidP="00D554E3">
                  <w:pPr>
                    <w:tabs>
                      <w:tab w:val="num" w:pos="-3420"/>
                    </w:tabs>
                    <w:ind w:right="-6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:rsidR="00B3773D" w:rsidRDefault="00B3773D" w:rsidP="00D554E3">
      <w:pPr>
        <w:tabs>
          <w:tab w:val="num" w:pos="-3420"/>
        </w:tabs>
        <w:ind w:right="44"/>
        <w:jc w:val="both"/>
        <w:rPr>
          <w:rFonts w:ascii="Calibri" w:hAnsi="Calibri" w:cs="Arial"/>
          <w:color w:val="000000"/>
          <w:sz w:val="21"/>
          <w:szCs w:val="21"/>
        </w:rPr>
      </w:pPr>
    </w:p>
    <w:p w:rsidR="00B3773D" w:rsidRDefault="00B3773D" w:rsidP="00D554E3">
      <w:pPr>
        <w:tabs>
          <w:tab w:val="num" w:pos="-3420"/>
        </w:tabs>
        <w:ind w:right="44"/>
        <w:jc w:val="both"/>
        <w:rPr>
          <w:rFonts w:ascii="Calibri" w:hAnsi="Calibri" w:cs="Arial"/>
          <w:color w:val="000000"/>
          <w:sz w:val="21"/>
          <w:szCs w:val="21"/>
        </w:rPr>
      </w:pPr>
    </w:p>
    <w:p w:rsidR="00B3773D" w:rsidRDefault="00B3773D" w:rsidP="00D554E3">
      <w:pPr>
        <w:tabs>
          <w:tab w:val="num" w:pos="-3420"/>
        </w:tabs>
        <w:ind w:right="44"/>
        <w:jc w:val="both"/>
        <w:rPr>
          <w:rFonts w:ascii="Calibri" w:hAnsi="Calibri" w:cs="Arial"/>
          <w:color w:val="000000"/>
          <w:sz w:val="21"/>
          <w:szCs w:val="21"/>
        </w:rPr>
      </w:pPr>
    </w:p>
    <w:p w:rsidR="00B3773D" w:rsidRDefault="00B3773D" w:rsidP="00D554E3">
      <w:pPr>
        <w:tabs>
          <w:tab w:val="num" w:pos="-3420"/>
        </w:tabs>
        <w:ind w:right="44"/>
        <w:jc w:val="both"/>
        <w:rPr>
          <w:rFonts w:ascii="Calibri" w:hAnsi="Calibri" w:cs="Arial"/>
          <w:color w:val="000000"/>
          <w:sz w:val="21"/>
          <w:szCs w:val="21"/>
        </w:rPr>
      </w:pPr>
    </w:p>
    <w:p w:rsidR="00B3773D" w:rsidRDefault="00B3773D" w:rsidP="00D554E3">
      <w:pPr>
        <w:tabs>
          <w:tab w:val="num" w:pos="-3420"/>
        </w:tabs>
        <w:ind w:right="44"/>
        <w:jc w:val="both"/>
        <w:rPr>
          <w:rFonts w:ascii="Calibri" w:hAnsi="Calibri" w:cs="Arial"/>
          <w:color w:val="000000"/>
          <w:sz w:val="21"/>
          <w:szCs w:val="21"/>
        </w:rPr>
      </w:pPr>
    </w:p>
    <w:p w:rsidR="00B3773D" w:rsidRDefault="00B3773D" w:rsidP="00D554E3">
      <w:pPr>
        <w:tabs>
          <w:tab w:val="num" w:pos="-3420"/>
        </w:tabs>
        <w:ind w:right="44"/>
        <w:jc w:val="both"/>
        <w:rPr>
          <w:rFonts w:ascii="Calibri" w:hAnsi="Calibri" w:cs="Arial"/>
          <w:color w:val="000000"/>
          <w:sz w:val="21"/>
          <w:szCs w:val="21"/>
        </w:rPr>
      </w:pPr>
    </w:p>
    <w:p w:rsidR="00D554E3" w:rsidRDefault="00D554E3" w:rsidP="00D554E3">
      <w:pPr>
        <w:tabs>
          <w:tab w:val="num" w:pos="-3420"/>
        </w:tabs>
        <w:ind w:right="44"/>
        <w:jc w:val="both"/>
        <w:rPr>
          <w:rFonts w:ascii="Calibri" w:hAnsi="Calibri" w:cs="Arial"/>
          <w:color w:val="000000"/>
          <w:sz w:val="21"/>
          <w:szCs w:val="21"/>
        </w:rPr>
      </w:pPr>
    </w:p>
    <w:p w:rsidR="00B3773D" w:rsidRDefault="00B3773D" w:rsidP="00D554E3">
      <w:pPr>
        <w:tabs>
          <w:tab w:val="num" w:pos="-3420"/>
        </w:tabs>
        <w:ind w:right="44"/>
        <w:jc w:val="both"/>
        <w:rPr>
          <w:rFonts w:ascii="Calibri" w:hAnsi="Calibri" w:cs="Arial"/>
          <w:color w:val="000000"/>
          <w:sz w:val="21"/>
          <w:szCs w:val="21"/>
        </w:rPr>
      </w:pPr>
    </w:p>
    <w:p w:rsidR="005E2418" w:rsidRDefault="005E2418" w:rsidP="00D554E3">
      <w:pPr>
        <w:tabs>
          <w:tab w:val="num" w:pos="-3420"/>
        </w:tabs>
        <w:ind w:right="44"/>
        <w:jc w:val="both"/>
        <w:rPr>
          <w:rFonts w:ascii="Calibri" w:hAnsi="Calibri" w:cs="Arial"/>
          <w:color w:val="000000"/>
          <w:sz w:val="21"/>
          <w:szCs w:val="21"/>
        </w:rPr>
      </w:pPr>
    </w:p>
    <w:p w:rsidR="005E2418" w:rsidRDefault="005E2418" w:rsidP="00D554E3">
      <w:pPr>
        <w:tabs>
          <w:tab w:val="num" w:pos="-3420"/>
        </w:tabs>
        <w:ind w:right="44"/>
        <w:jc w:val="both"/>
        <w:rPr>
          <w:rFonts w:ascii="Calibri" w:hAnsi="Calibri" w:cs="Arial"/>
          <w:color w:val="000000"/>
          <w:sz w:val="21"/>
          <w:szCs w:val="21"/>
        </w:rPr>
      </w:pPr>
    </w:p>
    <w:p w:rsidR="005E2418" w:rsidRDefault="005E2418" w:rsidP="00D554E3">
      <w:pPr>
        <w:tabs>
          <w:tab w:val="num" w:pos="-3420"/>
        </w:tabs>
        <w:ind w:right="44"/>
        <w:jc w:val="both"/>
        <w:rPr>
          <w:rFonts w:ascii="Calibri" w:hAnsi="Calibri" w:cs="Arial"/>
          <w:color w:val="000000"/>
          <w:sz w:val="21"/>
          <w:szCs w:val="21"/>
        </w:rPr>
      </w:pPr>
    </w:p>
    <w:p w:rsidR="000E0B52" w:rsidRDefault="000E0B52" w:rsidP="00D554E3">
      <w:pPr>
        <w:tabs>
          <w:tab w:val="num" w:pos="-3420"/>
        </w:tabs>
        <w:ind w:right="44"/>
        <w:jc w:val="both"/>
        <w:rPr>
          <w:rFonts w:ascii="Calibri" w:hAnsi="Calibri" w:cs="Arial"/>
          <w:color w:val="000000"/>
          <w:sz w:val="21"/>
          <w:szCs w:val="21"/>
        </w:rPr>
      </w:pPr>
    </w:p>
    <w:p w:rsidR="000474D1" w:rsidRDefault="000474D1" w:rsidP="00023CE2">
      <w:pPr>
        <w:tabs>
          <w:tab w:val="num" w:pos="-3420"/>
        </w:tabs>
        <w:ind w:left="-540" w:right="-316"/>
        <w:jc w:val="center"/>
        <w:rPr>
          <w:rFonts w:ascii="Calibri" w:hAnsi="Calibri" w:cs="Arial"/>
          <w:b/>
          <w:sz w:val="28"/>
          <w:szCs w:val="28"/>
        </w:rPr>
      </w:pPr>
    </w:p>
    <w:p w:rsidR="00023CE2" w:rsidRPr="00546FD9" w:rsidRDefault="00023CE2" w:rsidP="00023CE2">
      <w:pPr>
        <w:tabs>
          <w:tab w:val="num" w:pos="-3420"/>
        </w:tabs>
        <w:ind w:left="-540" w:right="-316"/>
        <w:jc w:val="center"/>
        <w:rPr>
          <w:rFonts w:ascii="Calibri" w:hAnsi="Calibri" w:cs="Arial"/>
          <w:b/>
          <w:sz w:val="28"/>
          <w:szCs w:val="28"/>
        </w:rPr>
      </w:pPr>
      <w:r w:rsidRPr="00546FD9">
        <w:rPr>
          <w:rFonts w:ascii="Calibri" w:hAnsi="Calibri" w:cs="Arial"/>
          <w:b/>
          <w:sz w:val="28"/>
          <w:szCs w:val="28"/>
        </w:rPr>
        <w:lastRenderedPageBreak/>
        <w:t xml:space="preserve">PLAZOS COMPROMETIDOS AL </w:t>
      </w:r>
      <w:r w:rsidR="00582988">
        <w:rPr>
          <w:rFonts w:ascii="Calibri" w:hAnsi="Calibri" w:cs="Arial"/>
          <w:b/>
          <w:sz w:val="28"/>
          <w:szCs w:val="28"/>
        </w:rPr>
        <w:t xml:space="preserve">24 </w:t>
      </w:r>
      <w:r w:rsidRPr="00546FD9">
        <w:rPr>
          <w:rFonts w:ascii="Calibri" w:hAnsi="Calibri" w:cs="Arial"/>
          <w:b/>
          <w:sz w:val="28"/>
          <w:szCs w:val="28"/>
        </w:rPr>
        <w:t xml:space="preserve">DE </w:t>
      </w:r>
      <w:r w:rsidR="00582988">
        <w:rPr>
          <w:rFonts w:ascii="Calibri" w:hAnsi="Calibri" w:cs="Arial"/>
          <w:b/>
          <w:sz w:val="28"/>
          <w:szCs w:val="28"/>
        </w:rPr>
        <w:t>DICI</w:t>
      </w:r>
      <w:r w:rsidR="0008211A">
        <w:rPr>
          <w:rFonts w:ascii="Calibri" w:hAnsi="Calibri" w:cs="Arial"/>
          <w:b/>
          <w:sz w:val="28"/>
          <w:szCs w:val="28"/>
        </w:rPr>
        <w:t>EMBRE</w:t>
      </w:r>
      <w:r w:rsidRPr="00546FD9">
        <w:rPr>
          <w:rFonts w:ascii="Calibri" w:hAnsi="Calibri" w:cs="Arial"/>
          <w:b/>
          <w:sz w:val="28"/>
          <w:szCs w:val="28"/>
        </w:rPr>
        <w:t xml:space="preserve"> DE 2009</w:t>
      </w:r>
    </w:p>
    <w:p w:rsidR="00B3773D" w:rsidRDefault="00B3773D" w:rsidP="00023CE2">
      <w:pPr>
        <w:tabs>
          <w:tab w:val="num" w:pos="-3420"/>
        </w:tabs>
        <w:ind w:left="-540" w:right="-316"/>
        <w:jc w:val="center"/>
        <w:rPr>
          <w:rFonts w:ascii="Calibri" w:hAnsi="Calibri" w:cs="Arial"/>
          <w:color w:val="000000"/>
          <w:sz w:val="21"/>
          <w:szCs w:val="21"/>
        </w:rPr>
      </w:pPr>
    </w:p>
    <w:p w:rsidR="00582988" w:rsidRDefault="00582988" w:rsidP="00582988">
      <w:pPr>
        <w:tabs>
          <w:tab w:val="num" w:pos="-3420"/>
        </w:tabs>
        <w:ind w:left="-540" w:right="-316"/>
        <w:jc w:val="center"/>
        <w:rPr>
          <w:rFonts w:ascii="Arial" w:hAnsi="Arial" w:cs="Arial"/>
          <w:b/>
        </w:rPr>
      </w:pPr>
    </w:p>
    <w:p w:rsidR="00582988" w:rsidRDefault="00582988" w:rsidP="00582988">
      <w:pPr>
        <w:tabs>
          <w:tab w:val="num" w:pos="-3420"/>
        </w:tabs>
        <w:ind w:left="-540" w:right="-316"/>
        <w:jc w:val="center"/>
        <w:rPr>
          <w:rFonts w:ascii="Arial" w:hAnsi="Arial" w:cs="Arial"/>
          <w:b/>
        </w:rPr>
      </w:pPr>
      <w:r w:rsidRPr="00546FD9">
        <w:rPr>
          <w:rFonts w:ascii="Arial" w:hAnsi="Arial" w:cs="Arial"/>
          <w:b/>
        </w:rPr>
        <w:t>PROCESO 2005-2006</w:t>
      </w:r>
    </w:p>
    <w:p w:rsidR="00582988" w:rsidRDefault="00582988" w:rsidP="00582988">
      <w:pPr>
        <w:ind w:right="99"/>
        <w:jc w:val="center"/>
        <w:rPr>
          <w:rFonts w:ascii="Arial" w:hAnsi="Arial" w:cs="Arial"/>
          <w:b/>
          <w:sz w:val="21"/>
          <w:szCs w:val="21"/>
        </w:rPr>
      </w:pPr>
      <w:r w:rsidRPr="007513F0">
        <w:rPr>
          <w:rFonts w:ascii="Arial" w:hAnsi="Arial" w:cs="Arial"/>
          <w:b/>
          <w:sz w:val="21"/>
          <w:szCs w:val="21"/>
        </w:rPr>
        <w:t>ENTREGA SIMULTÁNEA</w:t>
      </w:r>
      <w:r>
        <w:rPr>
          <w:rFonts w:ascii="Arial" w:hAnsi="Arial" w:cs="Arial"/>
          <w:b/>
          <w:sz w:val="21"/>
          <w:szCs w:val="21"/>
        </w:rPr>
        <w:t xml:space="preserve"> DE PROYECTOS INTEGRALES</w:t>
      </w:r>
    </w:p>
    <w:p w:rsidR="00582988" w:rsidRPr="007513F0" w:rsidRDefault="00582988" w:rsidP="00582988">
      <w:pPr>
        <w:ind w:right="99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10187" w:type="dxa"/>
        <w:tblInd w:w="-841" w:type="dxa"/>
        <w:tblCellMar>
          <w:left w:w="70" w:type="dxa"/>
          <w:right w:w="70" w:type="dxa"/>
        </w:tblCellMar>
        <w:tblLook w:val="0000"/>
      </w:tblPr>
      <w:tblGrid>
        <w:gridCol w:w="1450"/>
        <w:gridCol w:w="3061"/>
        <w:gridCol w:w="1028"/>
        <w:gridCol w:w="1572"/>
        <w:gridCol w:w="1368"/>
        <w:gridCol w:w="1708"/>
      </w:tblGrid>
      <w:tr w:rsidR="00582988" w:rsidTr="00582988">
        <w:trPr>
          <w:trHeight w:val="270"/>
        </w:trPr>
        <w:tc>
          <w:tcPr>
            <w:tcW w:w="101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3366"/>
            <w:noWrap/>
            <w:vAlign w:val="center"/>
          </w:tcPr>
          <w:p w:rsidR="00582988" w:rsidRPr="00386D41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86D4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CASINO DE JUEGO Y OBRAS ADICIONALES</w:t>
            </w:r>
          </w:p>
        </w:tc>
      </w:tr>
      <w:tr w:rsidR="00582988" w:rsidTr="00582988">
        <w:trPr>
          <w:trHeight w:val="525"/>
        </w:trPr>
        <w:tc>
          <w:tcPr>
            <w:tcW w:w="1450" w:type="dxa"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003366"/>
            <w:vAlign w:val="center"/>
          </w:tcPr>
          <w:p w:rsidR="00582988" w:rsidRPr="00386D41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COMUNA</w:t>
            </w:r>
          </w:p>
        </w:tc>
        <w:tc>
          <w:tcPr>
            <w:tcW w:w="30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3366"/>
            <w:noWrap/>
            <w:vAlign w:val="center"/>
          </w:tcPr>
          <w:p w:rsidR="00582988" w:rsidRPr="00386D41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86D4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GRUPO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3366"/>
            <w:vAlign w:val="center"/>
          </w:tcPr>
          <w:p w:rsidR="00582988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86D4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INVERSIÓN </w:t>
            </w:r>
          </w:p>
          <w:p w:rsidR="00582988" w:rsidRPr="00386D41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86D4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(US$ Millones)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82988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86D4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PLAZO </w:t>
            </w:r>
          </w:p>
          <w:p w:rsidR="00582988" w:rsidRPr="00386D41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86D4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COMPROMETIDO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82988" w:rsidRPr="00386D41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86D4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FECHA LÍMITE</w:t>
            </w:r>
          </w:p>
        </w:tc>
        <w:tc>
          <w:tcPr>
            <w:tcW w:w="17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3366"/>
            <w:vAlign w:val="center"/>
          </w:tcPr>
          <w:p w:rsidR="00582988" w:rsidRPr="00386D41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86D4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AÑO</w:t>
            </w:r>
          </w:p>
        </w:tc>
      </w:tr>
      <w:tr w:rsidR="00582988" w:rsidRPr="00C74F19" w:rsidTr="00582988">
        <w:trPr>
          <w:trHeight w:val="272"/>
        </w:trPr>
        <w:tc>
          <w:tcPr>
            <w:tcW w:w="145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3366CC" w:fill="auto"/>
            <w:noWrap/>
            <w:vAlign w:val="center"/>
          </w:tcPr>
          <w:p w:rsidR="00582988" w:rsidRPr="00C74F19" w:rsidRDefault="00582988" w:rsidP="005829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74F1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Pinto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3366CC" w:fill="auto"/>
            <w:noWrap/>
            <w:vAlign w:val="center"/>
          </w:tcPr>
          <w:p w:rsidR="00582988" w:rsidRPr="00C74F19" w:rsidRDefault="00582988" w:rsidP="005829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74F19">
              <w:rPr>
                <w:rFonts w:ascii="Arial" w:hAnsi="Arial" w:cs="Arial"/>
                <w:b/>
                <w:color w:val="FFFFFF"/>
                <w:sz w:val="16"/>
                <w:szCs w:val="16"/>
              </w:rPr>
              <w:t>J.L. Giner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3366CC" w:fill="auto"/>
            <w:noWrap/>
            <w:vAlign w:val="center"/>
          </w:tcPr>
          <w:p w:rsidR="00582988" w:rsidRPr="00C74F19" w:rsidRDefault="00582988" w:rsidP="00582988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74F19">
              <w:rPr>
                <w:rFonts w:ascii="Arial" w:hAnsi="Arial" w:cs="Arial"/>
                <w:b/>
                <w:color w:val="FFFFFF"/>
                <w:sz w:val="16"/>
                <w:szCs w:val="16"/>
              </w:rPr>
              <w:t>7,4</w:t>
            </w:r>
          </w:p>
        </w:tc>
        <w:tc>
          <w:tcPr>
            <w:tcW w:w="46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3366CC" w:fill="auto"/>
            <w:noWrap/>
            <w:vAlign w:val="center"/>
          </w:tcPr>
          <w:p w:rsidR="00582988" w:rsidRPr="00C74F19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Inaugurado: 9 de agosto de 2007</w:t>
            </w:r>
          </w:p>
        </w:tc>
      </w:tr>
      <w:tr w:rsidR="00582988" w:rsidTr="00582988">
        <w:trPr>
          <w:trHeight w:val="255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3366CC" w:fill="auto"/>
            <w:noWrap/>
            <w:vAlign w:val="center"/>
          </w:tcPr>
          <w:p w:rsidR="00582988" w:rsidRPr="003E53A3" w:rsidRDefault="00582988" w:rsidP="005829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E53A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Talca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3366CC" w:fill="auto"/>
            <w:noWrap/>
            <w:vAlign w:val="center"/>
          </w:tcPr>
          <w:p w:rsidR="00582988" w:rsidRPr="003E53A3" w:rsidRDefault="00582988" w:rsidP="00582988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pt-BR"/>
              </w:rPr>
            </w:pPr>
            <w:r w:rsidRPr="003E53A3">
              <w:rPr>
                <w:rFonts w:ascii="Arial" w:hAnsi="Arial" w:cs="Arial"/>
                <w:b/>
                <w:color w:val="FFFFFF"/>
                <w:sz w:val="16"/>
                <w:szCs w:val="16"/>
                <w:lang w:val="pt-BR"/>
              </w:rPr>
              <w:t>D. Wisecarver - J.L. López - A. Sagredo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3366CC" w:fill="auto"/>
            <w:noWrap/>
            <w:vAlign w:val="center"/>
          </w:tcPr>
          <w:p w:rsidR="00582988" w:rsidRPr="003E53A3" w:rsidRDefault="00582988" w:rsidP="00582988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53A3">
              <w:rPr>
                <w:rFonts w:ascii="Arial" w:hAnsi="Arial" w:cs="Arial"/>
                <w:b/>
                <w:color w:val="FFFFFF"/>
                <w:sz w:val="16"/>
                <w:szCs w:val="16"/>
              </w:rPr>
              <w:t>8,4</w:t>
            </w:r>
          </w:p>
        </w:tc>
        <w:tc>
          <w:tcPr>
            <w:tcW w:w="46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3366CC" w:fill="auto"/>
            <w:noWrap/>
            <w:vAlign w:val="center"/>
          </w:tcPr>
          <w:p w:rsidR="00582988" w:rsidRPr="003E53A3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E53A3">
              <w:rPr>
                <w:rFonts w:ascii="Arial" w:hAnsi="Arial" w:cs="Arial"/>
                <w:b/>
                <w:color w:val="FFFFFF"/>
                <w:sz w:val="16"/>
                <w:szCs w:val="16"/>
              </w:rPr>
              <w:t>Inaugurado: 26 de diciembre de 2008</w:t>
            </w:r>
          </w:p>
        </w:tc>
      </w:tr>
      <w:tr w:rsidR="00582988" w:rsidTr="00582988">
        <w:trPr>
          <w:trHeight w:val="215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3366CC" w:fill="auto"/>
            <w:noWrap/>
            <w:vAlign w:val="center"/>
          </w:tcPr>
          <w:p w:rsidR="00582988" w:rsidRPr="003E53A3" w:rsidRDefault="00582988" w:rsidP="005829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E53A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Punta Arenas</w:t>
            </w:r>
          </w:p>
        </w:tc>
        <w:tc>
          <w:tcPr>
            <w:tcW w:w="30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solid" w:color="3366CC" w:fill="auto"/>
            <w:noWrap/>
            <w:vAlign w:val="center"/>
          </w:tcPr>
          <w:p w:rsidR="00582988" w:rsidRPr="003E53A3" w:rsidRDefault="00582988" w:rsidP="005829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53A3">
              <w:rPr>
                <w:rFonts w:ascii="Arial" w:hAnsi="Arial" w:cs="Arial"/>
                <w:b/>
                <w:color w:val="FFFFFF"/>
                <w:sz w:val="16"/>
                <w:szCs w:val="16"/>
              </w:rPr>
              <w:t>Fischer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3366CC" w:fill="auto"/>
            <w:noWrap/>
            <w:vAlign w:val="center"/>
          </w:tcPr>
          <w:p w:rsidR="00582988" w:rsidRPr="003E53A3" w:rsidRDefault="00582988" w:rsidP="00582988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53A3">
              <w:rPr>
                <w:rFonts w:ascii="Arial" w:hAnsi="Arial" w:cs="Arial"/>
                <w:b/>
                <w:color w:val="FFFFFF"/>
                <w:sz w:val="16"/>
                <w:szCs w:val="16"/>
              </w:rPr>
              <w:t>39,6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3366CC" w:fill="auto"/>
            <w:noWrap/>
            <w:vAlign w:val="center"/>
          </w:tcPr>
          <w:p w:rsidR="00582988" w:rsidRPr="003E53A3" w:rsidRDefault="00582988" w:rsidP="0058298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53A3">
              <w:rPr>
                <w:rFonts w:ascii="Arial" w:hAnsi="Arial" w:cs="Arial"/>
                <w:b/>
                <w:color w:val="FFFFFF"/>
                <w:sz w:val="16"/>
                <w:szCs w:val="16"/>
              </w:rPr>
              <w:t>Inaugurado: 13 de marzo de 2009</w:t>
            </w:r>
          </w:p>
        </w:tc>
      </w:tr>
    </w:tbl>
    <w:p w:rsidR="00582988" w:rsidRDefault="00582988" w:rsidP="00582988">
      <w:pPr>
        <w:ind w:left="-900"/>
      </w:pPr>
      <w:r w:rsidRPr="00CD00B5">
        <w:rPr>
          <w:rFonts w:ascii="Arial" w:hAnsi="Arial" w:cs="Arial"/>
          <w:b/>
          <w:bCs/>
          <w:sz w:val="16"/>
          <w:szCs w:val="16"/>
        </w:rPr>
        <w:t>Fuente: Superintendencia de Casinos de Juego (SCJ).</w:t>
      </w:r>
      <w:r>
        <w:t xml:space="preserve"> </w:t>
      </w:r>
    </w:p>
    <w:p w:rsidR="00582988" w:rsidRDefault="00582988" w:rsidP="00582988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582988" w:rsidRDefault="00582988" w:rsidP="00582988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582988" w:rsidRDefault="00582988" w:rsidP="00582988">
      <w:pPr>
        <w:ind w:right="99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ENTREGA EN DOS ETAPAS</w:t>
      </w:r>
      <w:r w:rsidRPr="007513F0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DE PROYECTOS INTEGRALES</w:t>
      </w:r>
    </w:p>
    <w:p w:rsidR="00582988" w:rsidRDefault="00582988" w:rsidP="00582988">
      <w:pPr>
        <w:ind w:right="99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11236" w:type="dxa"/>
        <w:jc w:val="center"/>
        <w:tblInd w:w="-1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275"/>
        <w:gridCol w:w="1651"/>
        <w:gridCol w:w="1021"/>
        <w:gridCol w:w="1603"/>
        <w:gridCol w:w="1800"/>
        <w:gridCol w:w="540"/>
        <w:gridCol w:w="1497"/>
        <w:gridCol w:w="1383"/>
        <w:gridCol w:w="510"/>
      </w:tblGrid>
      <w:tr w:rsidR="00582988" w:rsidRPr="00CD00B5" w:rsidTr="00582988">
        <w:trPr>
          <w:trHeight w:val="270"/>
          <w:jc w:val="center"/>
        </w:trPr>
        <w:tc>
          <w:tcPr>
            <w:tcW w:w="1275" w:type="dxa"/>
            <w:vMerge w:val="restart"/>
            <w:tcBorders>
              <w:top w:val="single" w:sz="8" w:space="0" w:color="000000"/>
            </w:tcBorders>
            <w:shd w:val="clear" w:color="auto" w:fill="003366"/>
            <w:noWrap/>
            <w:vAlign w:val="center"/>
          </w:tcPr>
          <w:p w:rsidR="00582988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D00B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COMUNA</w:t>
            </w:r>
          </w:p>
        </w:tc>
        <w:tc>
          <w:tcPr>
            <w:tcW w:w="1651" w:type="dxa"/>
            <w:vMerge w:val="restart"/>
            <w:tcBorders>
              <w:top w:val="single" w:sz="8" w:space="0" w:color="000000"/>
            </w:tcBorders>
            <w:shd w:val="clear" w:color="auto" w:fill="003366"/>
            <w:noWrap/>
            <w:vAlign w:val="center"/>
          </w:tcPr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D00B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GRUPO</w:t>
            </w:r>
          </w:p>
        </w:tc>
        <w:tc>
          <w:tcPr>
            <w:tcW w:w="977" w:type="dxa"/>
            <w:vMerge w:val="restart"/>
            <w:tcBorders>
              <w:top w:val="single" w:sz="8" w:space="0" w:color="000000"/>
            </w:tcBorders>
            <w:shd w:val="clear" w:color="auto" w:fill="003366"/>
            <w:vAlign w:val="center"/>
          </w:tcPr>
          <w:p w:rsidR="00582988" w:rsidRPr="00942D9A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42D9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INVERSIÓN (US$ Millones)</w:t>
            </w:r>
          </w:p>
        </w:tc>
        <w:tc>
          <w:tcPr>
            <w:tcW w:w="394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003366"/>
            <w:noWrap/>
            <w:vAlign w:val="center"/>
          </w:tcPr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ETAPA I: </w:t>
            </w:r>
            <w:r w:rsidRPr="00CD00B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CASINO DE JUEGO</w:t>
            </w:r>
          </w:p>
        </w:tc>
        <w:tc>
          <w:tcPr>
            <w:tcW w:w="339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003366"/>
            <w:noWrap/>
            <w:vAlign w:val="center"/>
          </w:tcPr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ETAPA II: </w:t>
            </w:r>
            <w:r w:rsidRPr="00CD00B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OBRAS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COMPLEMENTARIAS</w:t>
            </w:r>
          </w:p>
        </w:tc>
      </w:tr>
      <w:tr w:rsidR="00582988" w:rsidRPr="00CD00B5" w:rsidTr="00582988">
        <w:trPr>
          <w:trHeight w:val="525"/>
          <w:jc w:val="center"/>
        </w:trPr>
        <w:tc>
          <w:tcPr>
            <w:tcW w:w="1275" w:type="dxa"/>
            <w:vMerge/>
            <w:tcBorders>
              <w:bottom w:val="single" w:sz="8" w:space="0" w:color="000000"/>
            </w:tcBorders>
            <w:vAlign w:val="center"/>
          </w:tcPr>
          <w:p w:rsidR="00582988" w:rsidRPr="00CD00B5" w:rsidRDefault="00582988" w:rsidP="005829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bottom w:val="single" w:sz="8" w:space="0" w:color="000000"/>
            </w:tcBorders>
            <w:vAlign w:val="center"/>
          </w:tcPr>
          <w:p w:rsidR="00582988" w:rsidRPr="00CD00B5" w:rsidRDefault="00582988" w:rsidP="005829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bottom w:val="single" w:sz="8" w:space="0" w:color="000000"/>
            </w:tcBorders>
            <w:vAlign w:val="center"/>
          </w:tcPr>
          <w:p w:rsidR="00582988" w:rsidRPr="00CD00B5" w:rsidRDefault="00582988" w:rsidP="005829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03" w:type="dxa"/>
            <w:tcBorders>
              <w:bottom w:val="single" w:sz="8" w:space="0" w:color="000000"/>
            </w:tcBorders>
            <w:shd w:val="clear" w:color="auto" w:fill="003366"/>
            <w:vAlign w:val="center"/>
          </w:tcPr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D00B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PLAZO COMPROMETIDO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shd w:val="clear" w:color="auto" w:fill="003366"/>
            <w:vAlign w:val="center"/>
          </w:tcPr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FECHA LÍMITE 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3366"/>
            <w:vAlign w:val="center"/>
          </w:tcPr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AÑ</w:t>
            </w:r>
            <w:r w:rsidRPr="00CD00B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</w:t>
            </w: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3366"/>
            <w:vAlign w:val="center"/>
          </w:tcPr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D00B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PLAZO COMPROMETIDO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3366"/>
            <w:vAlign w:val="center"/>
          </w:tcPr>
          <w:p w:rsidR="00582988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D00B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FECHA LÍMITE </w:t>
            </w:r>
          </w:p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shd w:val="clear" w:color="auto" w:fill="003366"/>
            <w:vAlign w:val="center"/>
          </w:tcPr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D00B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AÑO</w:t>
            </w:r>
          </w:p>
        </w:tc>
      </w:tr>
      <w:tr w:rsidR="00582988" w:rsidRPr="00CD00B5" w:rsidTr="00582988">
        <w:trPr>
          <w:trHeight w:val="320"/>
          <w:jc w:val="center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C23A73" w:rsidRDefault="00582988" w:rsidP="005829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23A7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Copiapó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C23A73" w:rsidRDefault="00582988" w:rsidP="005829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23A73">
              <w:rPr>
                <w:rFonts w:ascii="Arial" w:hAnsi="Arial" w:cs="Arial"/>
                <w:b/>
                <w:color w:val="FFFFFF"/>
                <w:sz w:val="16"/>
                <w:szCs w:val="16"/>
              </w:rPr>
              <w:t>Egasa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C23A73" w:rsidRDefault="00582988" w:rsidP="00582988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23A73">
              <w:rPr>
                <w:rFonts w:ascii="Arial" w:hAnsi="Arial" w:cs="Arial"/>
                <w:b/>
                <w:color w:val="FFFFFF"/>
                <w:sz w:val="16"/>
                <w:szCs w:val="16"/>
              </w:rPr>
              <w:t>33,3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C23A73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Inaugurado: 7 de agosto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</w:tcBorders>
            <w:shd w:val="clear" w:color="auto" w:fill="CCFFFF"/>
            <w:vAlign w:val="center"/>
          </w:tcPr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0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9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3366CC"/>
            <w:noWrap/>
            <w:vAlign w:val="center"/>
          </w:tcPr>
          <w:p w:rsidR="00582988" w:rsidRPr="00741C9A" w:rsidRDefault="00582988" w:rsidP="0058298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Certific</w:t>
            </w:r>
            <w:r w:rsidRPr="006606E8">
              <w:rPr>
                <w:rFonts w:ascii="Arial" w:hAnsi="Arial" w:cs="Arial"/>
                <w:b/>
                <w:color w:val="FFFFFF"/>
                <w:sz w:val="16"/>
                <w:szCs w:val="16"/>
              </w:rPr>
              <w:t>ado: 23 de febrero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de 2009</w:t>
            </w:r>
          </w:p>
        </w:tc>
      </w:tr>
      <w:tr w:rsidR="00582988" w:rsidRPr="00CD00B5" w:rsidTr="00582988">
        <w:trPr>
          <w:trHeight w:val="270"/>
          <w:jc w:val="center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8F6275" w:rsidRDefault="00582988" w:rsidP="005829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F627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Santa Cruz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8F6275" w:rsidRDefault="00582988" w:rsidP="005829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6275">
              <w:rPr>
                <w:rFonts w:ascii="Arial" w:hAnsi="Arial" w:cs="Arial"/>
                <w:b/>
                <w:color w:val="FFFFFF"/>
                <w:sz w:val="16"/>
                <w:szCs w:val="16"/>
              </w:rPr>
              <w:t>Cardoen-Enjoy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8F6275" w:rsidRDefault="00582988" w:rsidP="00582988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6275">
              <w:rPr>
                <w:rFonts w:ascii="Arial" w:hAnsi="Arial" w:cs="Arial"/>
                <w:b/>
                <w:color w:val="FFFFFF"/>
                <w:sz w:val="16"/>
                <w:szCs w:val="16"/>
              </w:rPr>
              <w:t>7,7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8F6275" w:rsidRDefault="00582988" w:rsidP="0058298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Inaugurado: 12 de septiembre</w:t>
            </w:r>
          </w:p>
        </w:tc>
        <w:tc>
          <w:tcPr>
            <w:tcW w:w="540" w:type="dxa"/>
            <w:vMerge/>
            <w:shd w:val="clear" w:color="auto" w:fill="CCFFFF"/>
            <w:vAlign w:val="center"/>
          </w:tcPr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3366CC"/>
            <w:noWrap/>
            <w:vAlign w:val="center"/>
          </w:tcPr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Certific</w:t>
            </w:r>
            <w:r w:rsidRPr="006606E8">
              <w:rPr>
                <w:rFonts w:ascii="Arial" w:hAnsi="Arial" w:cs="Arial"/>
                <w:b/>
                <w:color w:val="FFFFFF"/>
                <w:sz w:val="16"/>
                <w:szCs w:val="16"/>
              </w:rPr>
              <w:t>ado: 1 de diciembre de 2008</w:t>
            </w:r>
          </w:p>
        </w:tc>
      </w:tr>
      <w:tr w:rsidR="00582988" w:rsidRPr="00CD00B5" w:rsidTr="00582988">
        <w:trPr>
          <w:trHeight w:val="255"/>
          <w:jc w:val="center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193ED8" w:rsidRDefault="00582988" w:rsidP="005829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93ED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Los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Á</w:t>
            </w:r>
            <w:r w:rsidRPr="00193ED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ngeles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193ED8" w:rsidRDefault="00582988" w:rsidP="005829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93ED8">
              <w:rPr>
                <w:rFonts w:ascii="Arial" w:hAnsi="Arial" w:cs="Arial"/>
                <w:b/>
                <w:color w:val="FFFFFF"/>
                <w:sz w:val="16"/>
                <w:szCs w:val="16"/>
              </w:rPr>
              <w:t>Casinos Austria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193ED8" w:rsidRDefault="00582988" w:rsidP="00582988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93ED8">
              <w:rPr>
                <w:rFonts w:ascii="Arial" w:hAnsi="Arial" w:cs="Arial"/>
                <w:b/>
                <w:color w:val="FFFFFF"/>
                <w:sz w:val="16"/>
                <w:szCs w:val="16"/>
              </w:rPr>
              <w:t>15,0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193ED8" w:rsidRDefault="00582988" w:rsidP="0058298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Inaugurado: 29 de julio</w:t>
            </w:r>
          </w:p>
        </w:tc>
        <w:tc>
          <w:tcPr>
            <w:tcW w:w="540" w:type="dxa"/>
            <w:vMerge/>
            <w:shd w:val="clear" w:color="auto" w:fill="CCFFFF"/>
            <w:noWrap/>
            <w:vAlign w:val="center"/>
          </w:tcPr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395AE7"/>
            <w:noWrap/>
            <w:vAlign w:val="center"/>
          </w:tcPr>
          <w:p w:rsidR="00582988" w:rsidRPr="000641CE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641CE">
              <w:rPr>
                <w:rFonts w:ascii="Arial" w:hAnsi="Arial" w:cs="Arial"/>
                <w:b/>
                <w:color w:val="FFFFFF"/>
                <w:sz w:val="16"/>
                <w:szCs w:val="16"/>
              </w:rPr>
              <w:t>Certificado: 4 de junio de 2009</w:t>
            </w:r>
          </w:p>
        </w:tc>
      </w:tr>
      <w:tr w:rsidR="00582988" w:rsidRPr="00CD00B5" w:rsidTr="00582988">
        <w:trPr>
          <w:trHeight w:val="255"/>
          <w:jc w:val="center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C6208D" w:rsidRDefault="00582988" w:rsidP="005829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6208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Mostazal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C6208D" w:rsidRDefault="00582988" w:rsidP="0058298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C6208D">
              <w:rPr>
                <w:rFonts w:ascii="Arial" w:hAnsi="Arial" w:cs="Arial"/>
                <w:b/>
                <w:color w:val="FFFFFF"/>
                <w:sz w:val="16"/>
                <w:szCs w:val="16"/>
              </w:rPr>
              <w:t>SUN International-Novomatic-IGGR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C6208D" w:rsidRDefault="00582988" w:rsidP="00582988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6208D">
              <w:rPr>
                <w:rFonts w:ascii="Arial" w:hAnsi="Arial" w:cs="Arial"/>
                <w:b/>
                <w:color w:val="FFFFFF"/>
                <w:sz w:val="16"/>
                <w:szCs w:val="16"/>
              </w:rPr>
              <w:t>145,3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C6208D" w:rsidRDefault="00582988" w:rsidP="0058298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Inaugurado: 8 de octubre</w:t>
            </w:r>
          </w:p>
        </w:tc>
        <w:tc>
          <w:tcPr>
            <w:tcW w:w="540" w:type="dxa"/>
            <w:vMerge/>
            <w:shd w:val="clear" w:color="auto" w:fill="CCFFFF"/>
            <w:noWrap/>
            <w:vAlign w:val="center"/>
          </w:tcPr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582988" w:rsidRDefault="00582988" w:rsidP="005829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0B5">
              <w:rPr>
                <w:rFonts w:ascii="Arial" w:hAnsi="Arial" w:cs="Arial"/>
                <w:sz w:val="16"/>
                <w:szCs w:val="16"/>
              </w:rPr>
              <w:t>36 meses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988" w:rsidRPr="00D13264" w:rsidRDefault="00582988" w:rsidP="005829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0B5">
              <w:rPr>
                <w:rFonts w:ascii="Arial" w:hAnsi="Arial" w:cs="Arial"/>
                <w:sz w:val="16"/>
                <w:szCs w:val="16"/>
              </w:rPr>
              <w:t>29 de diciembre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582988" w:rsidRPr="00CD00B5" w:rsidRDefault="00582988" w:rsidP="005829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2010</w:t>
            </w:r>
          </w:p>
        </w:tc>
      </w:tr>
      <w:tr w:rsidR="00582988" w:rsidRPr="00CD00B5" w:rsidTr="00582988">
        <w:trPr>
          <w:trHeight w:val="255"/>
          <w:jc w:val="center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9F1DE7" w:rsidRDefault="00582988" w:rsidP="005829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F1DE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Antofagasta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9F0EAE" w:rsidRDefault="00582988" w:rsidP="005829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F0EAE">
              <w:rPr>
                <w:rFonts w:ascii="Arial" w:hAnsi="Arial" w:cs="Arial"/>
                <w:b/>
                <w:color w:val="FFFFFF"/>
                <w:sz w:val="16"/>
                <w:szCs w:val="16"/>
              </w:rPr>
              <w:t>Enjoy-I.Simunovic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9F0EAE" w:rsidRDefault="00582988" w:rsidP="00582988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F0EAE">
              <w:rPr>
                <w:rFonts w:ascii="Arial" w:hAnsi="Arial" w:cs="Arial"/>
                <w:b/>
                <w:color w:val="FFFFFF"/>
                <w:sz w:val="16"/>
                <w:szCs w:val="16"/>
              </w:rPr>
              <w:t>61,7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Default="00582988" w:rsidP="00582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Inaugurado: 11 de noviembre</w:t>
            </w:r>
          </w:p>
        </w:tc>
        <w:tc>
          <w:tcPr>
            <w:tcW w:w="540" w:type="dxa"/>
            <w:vMerge/>
            <w:shd w:val="clear" w:color="auto" w:fill="CCFFFF"/>
            <w:noWrap/>
            <w:vAlign w:val="center"/>
          </w:tcPr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3366CC"/>
            <w:noWrap/>
            <w:vAlign w:val="center"/>
          </w:tcPr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Certific</w:t>
            </w:r>
            <w:r w:rsidRPr="006606E8">
              <w:rPr>
                <w:rFonts w:ascii="Arial" w:hAnsi="Arial" w:cs="Arial"/>
                <w:b/>
                <w:color w:val="FFFFFF"/>
                <w:sz w:val="16"/>
                <w:szCs w:val="16"/>
              </w:rPr>
              <w:t>ado: 16 de marzo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de 2009</w:t>
            </w:r>
          </w:p>
        </w:tc>
      </w:tr>
      <w:tr w:rsidR="00582988" w:rsidRPr="00CD00B5" w:rsidTr="00582988">
        <w:trPr>
          <w:trHeight w:val="270"/>
          <w:jc w:val="center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9F1DE7" w:rsidRDefault="00582988" w:rsidP="005829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F1DE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Talcahuano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9F1DE7" w:rsidRDefault="00582988" w:rsidP="005829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F1DE7">
              <w:rPr>
                <w:rFonts w:ascii="Arial" w:hAnsi="Arial" w:cs="Arial"/>
                <w:b/>
                <w:color w:val="FFFFFF"/>
                <w:sz w:val="16"/>
                <w:szCs w:val="16"/>
              </w:rPr>
              <w:t>Clairvest-Valmar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9F1DE7" w:rsidRDefault="00582988" w:rsidP="00582988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F1DE7">
              <w:rPr>
                <w:rFonts w:ascii="Arial" w:hAnsi="Arial" w:cs="Arial"/>
                <w:b/>
                <w:color w:val="FFFFFF"/>
                <w:sz w:val="16"/>
                <w:szCs w:val="16"/>
              </w:rPr>
              <w:t>88,2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9F1DE7" w:rsidRDefault="00582988" w:rsidP="0058298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Inaugurado: 13 de noviembre</w:t>
            </w:r>
          </w:p>
        </w:tc>
        <w:tc>
          <w:tcPr>
            <w:tcW w:w="540" w:type="dxa"/>
            <w:vMerge/>
            <w:tcBorders>
              <w:bottom w:val="single" w:sz="8" w:space="0" w:color="000000"/>
            </w:tcBorders>
            <w:shd w:val="clear" w:color="auto" w:fill="99CCFF"/>
            <w:vAlign w:val="center"/>
          </w:tcPr>
          <w:p w:rsidR="00582988" w:rsidRDefault="00582988" w:rsidP="0058298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3366CC"/>
            <w:noWrap/>
            <w:vAlign w:val="center"/>
          </w:tcPr>
          <w:p w:rsidR="00582988" w:rsidRDefault="00582988" w:rsidP="005829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Certific</w:t>
            </w:r>
            <w:r w:rsidRPr="006606E8">
              <w:rPr>
                <w:rFonts w:ascii="Arial" w:hAnsi="Arial" w:cs="Arial"/>
                <w:b/>
                <w:color w:val="FFFFFF"/>
                <w:sz w:val="16"/>
                <w:szCs w:val="16"/>
              </w:rPr>
              <w:t>ado: 25 de marz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o de 2009</w:t>
            </w:r>
          </w:p>
        </w:tc>
      </w:tr>
      <w:tr w:rsidR="00582988" w:rsidRPr="00CD00B5" w:rsidTr="00582988">
        <w:trPr>
          <w:trHeight w:val="270"/>
          <w:jc w:val="center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3E53A3" w:rsidRDefault="00582988" w:rsidP="005829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E53A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Calama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3E53A3" w:rsidRDefault="00582988" w:rsidP="005829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53A3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Latin Gaming 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3E53A3" w:rsidRDefault="00582988" w:rsidP="00582988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53A3">
              <w:rPr>
                <w:rFonts w:ascii="Arial" w:hAnsi="Arial" w:cs="Arial"/>
                <w:b/>
                <w:color w:val="FFFFFF"/>
                <w:sz w:val="16"/>
                <w:szCs w:val="16"/>
              </w:rPr>
              <w:t>49,8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3E53A3" w:rsidRDefault="00582988" w:rsidP="0058298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53A3">
              <w:rPr>
                <w:rFonts w:ascii="Arial" w:hAnsi="Arial" w:cs="Arial"/>
                <w:b/>
                <w:color w:val="FFFFFF"/>
                <w:sz w:val="16"/>
                <w:szCs w:val="16"/>
              </w:rPr>
              <w:t>Inaugurado: 14 de mayo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</w:tcBorders>
            <w:shd w:val="clear" w:color="auto" w:fill="99CCFF"/>
            <w:vAlign w:val="center"/>
          </w:tcPr>
          <w:p w:rsidR="00582988" w:rsidRDefault="00582988" w:rsidP="0058298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582988" w:rsidRDefault="00582988" w:rsidP="005829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meses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582988" w:rsidRPr="00F50DBC" w:rsidRDefault="00582988" w:rsidP="005829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DBC">
              <w:rPr>
                <w:rFonts w:ascii="Arial" w:hAnsi="Arial" w:cs="Arial"/>
                <w:color w:val="000000"/>
                <w:sz w:val="16"/>
                <w:szCs w:val="16"/>
              </w:rPr>
              <w:t>21 de mayo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</w:tcBorders>
            <w:shd w:val="clear" w:color="auto" w:fill="00FFFF"/>
            <w:vAlign w:val="center"/>
          </w:tcPr>
          <w:p w:rsidR="00582988" w:rsidRDefault="00582988" w:rsidP="005829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2010</w:t>
            </w:r>
          </w:p>
        </w:tc>
      </w:tr>
      <w:tr w:rsidR="00582988" w:rsidRPr="002B5D59" w:rsidTr="00582988">
        <w:trPr>
          <w:trHeight w:val="270"/>
          <w:jc w:val="center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DF6184" w:rsidRDefault="00582988" w:rsidP="005829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F61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Rinconada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DF6184" w:rsidRDefault="00582988" w:rsidP="005829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F6184">
              <w:rPr>
                <w:rFonts w:ascii="Arial" w:hAnsi="Arial" w:cs="Arial"/>
                <w:b/>
                <w:color w:val="FFFFFF"/>
                <w:sz w:val="16"/>
                <w:szCs w:val="16"/>
              </w:rPr>
              <w:t>Salguero Hotels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DF6184" w:rsidRDefault="00582988" w:rsidP="00582988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F6184">
              <w:rPr>
                <w:rFonts w:ascii="Arial" w:hAnsi="Arial" w:cs="Arial"/>
                <w:b/>
                <w:color w:val="FFFFFF"/>
                <w:sz w:val="16"/>
                <w:szCs w:val="16"/>
              </w:rPr>
              <w:t>31,3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DF6184" w:rsidRDefault="00582988" w:rsidP="0058298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F6184">
              <w:rPr>
                <w:rFonts w:ascii="Arial" w:hAnsi="Arial" w:cs="Arial"/>
                <w:b/>
                <w:color w:val="FFFFFF"/>
                <w:sz w:val="16"/>
                <w:szCs w:val="16"/>
              </w:rPr>
              <w:t>Inaugurado: 29 de agosto</w:t>
            </w:r>
          </w:p>
        </w:tc>
        <w:tc>
          <w:tcPr>
            <w:tcW w:w="540" w:type="dxa"/>
            <w:vMerge/>
            <w:shd w:val="clear" w:color="auto" w:fill="99CCFF"/>
            <w:vAlign w:val="center"/>
          </w:tcPr>
          <w:p w:rsidR="00582988" w:rsidRPr="002B5D59" w:rsidRDefault="00582988" w:rsidP="005829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582988" w:rsidRPr="002B5D59" w:rsidRDefault="00582988" w:rsidP="005829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5D59">
              <w:rPr>
                <w:rFonts w:ascii="Arial" w:hAnsi="Arial" w:cs="Arial"/>
                <w:sz w:val="16"/>
                <w:szCs w:val="16"/>
              </w:rPr>
              <w:t>48 meses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582988" w:rsidRPr="002B5D59" w:rsidRDefault="00582988" w:rsidP="005829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5D59">
              <w:rPr>
                <w:rFonts w:ascii="Arial" w:hAnsi="Arial" w:cs="Arial"/>
                <w:sz w:val="16"/>
                <w:szCs w:val="16"/>
              </w:rPr>
              <w:t>29 de diciembre</w:t>
            </w:r>
          </w:p>
        </w:tc>
        <w:tc>
          <w:tcPr>
            <w:tcW w:w="510" w:type="dxa"/>
            <w:vMerge/>
            <w:shd w:val="clear" w:color="auto" w:fill="00FFFF"/>
            <w:vAlign w:val="center"/>
          </w:tcPr>
          <w:p w:rsidR="00582988" w:rsidRPr="002B5D59" w:rsidRDefault="00582988" w:rsidP="005829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2988" w:rsidRPr="002B5D59" w:rsidTr="00582988">
        <w:trPr>
          <w:trHeight w:val="270"/>
          <w:jc w:val="center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DF6184" w:rsidRDefault="00582988" w:rsidP="005829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F61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San Antonio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DF6184" w:rsidRDefault="00582988" w:rsidP="005829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F6184">
              <w:rPr>
                <w:rFonts w:ascii="Arial" w:hAnsi="Arial" w:cs="Arial"/>
                <w:b/>
                <w:color w:val="FFFFFF"/>
                <w:sz w:val="16"/>
                <w:szCs w:val="16"/>
              </w:rPr>
              <w:t>Ivisa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DF6184" w:rsidRDefault="00582988" w:rsidP="00582988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F6184">
              <w:rPr>
                <w:rFonts w:ascii="Arial" w:hAnsi="Arial" w:cs="Arial"/>
                <w:b/>
                <w:color w:val="FFFFFF"/>
                <w:sz w:val="16"/>
                <w:szCs w:val="16"/>
              </w:rPr>
              <w:t>46,6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DF6184" w:rsidRDefault="00582988" w:rsidP="0058298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F6184">
              <w:rPr>
                <w:rFonts w:ascii="Arial" w:hAnsi="Arial" w:cs="Arial"/>
                <w:b/>
                <w:color w:val="FFFFFF"/>
                <w:sz w:val="16"/>
                <w:szCs w:val="16"/>
              </w:rPr>
              <w:t>Inaugurado: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Pr="00DF6184">
              <w:rPr>
                <w:rFonts w:ascii="Arial" w:hAnsi="Arial" w:cs="Arial"/>
                <w:b/>
                <w:color w:val="FFFFFF"/>
                <w:sz w:val="16"/>
                <w:szCs w:val="16"/>
              </w:rPr>
              <w:t>27 de agosto</w:t>
            </w:r>
          </w:p>
        </w:tc>
        <w:tc>
          <w:tcPr>
            <w:tcW w:w="540" w:type="dxa"/>
            <w:vMerge/>
            <w:shd w:val="clear" w:color="auto" w:fill="99CCFF"/>
            <w:vAlign w:val="center"/>
          </w:tcPr>
          <w:p w:rsidR="00582988" w:rsidRPr="002B5D59" w:rsidRDefault="00582988" w:rsidP="005829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582988" w:rsidRPr="002B5D59" w:rsidRDefault="00582988" w:rsidP="005829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5D59">
              <w:rPr>
                <w:rFonts w:ascii="Arial" w:hAnsi="Arial" w:cs="Arial"/>
                <w:sz w:val="16"/>
                <w:szCs w:val="16"/>
              </w:rPr>
              <w:t>48 meses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582988" w:rsidRPr="002B5D59" w:rsidRDefault="00582988" w:rsidP="005829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5D59">
              <w:rPr>
                <w:rFonts w:ascii="Arial" w:hAnsi="Arial" w:cs="Arial"/>
                <w:sz w:val="16"/>
                <w:szCs w:val="16"/>
              </w:rPr>
              <w:t>29 de diciembre</w:t>
            </w:r>
          </w:p>
        </w:tc>
        <w:tc>
          <w:tcPr>
            <w:tcW w:w="510" w:type="dxa"/>
            <w:vMerge/>
            <w:tcBorders>
              <w:bottom w:val="single" w:sz="8" w:space="0" w:color="000000"/>
            </w:tcBorders>
            <w:shd w:val="clear" w:color="auto" w:fill="00FFFF"/>
            <w:vAlign w:val="center"/>
          </w:tcPr>
          <w:p w:rsidR="00582988" w:rsidRPr="002B5D59" w:rsidRDefault="00582988" w:rsidP="005829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2988" w:rsidRPr="00CD00B5" w:rsidTr="00582988">
        <w:trPr>
          <w:trHeight w:val="270"/>
          <w:jc w:val="center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3E53A3" w:rsidRDefault="00582988" w:rsidP="005829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E53A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Temuco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3E53A3" w:rsidRDefault="00582988" w:rsidP="005829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53A3">
              <w:rPr>
                <w:rFonts w:ascii="Arial" w:hAnsi="Arial" w:cs="Arial"/>
                <w:b/>
                <w:color w:val="FFFFFF"/>
                <w:sz w:val="16"/>
                <w:szCs w:val="16"/>
              </w:rPr>
              <w:t>Fischer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3E53A3" w:rsidRDefault="00582988" w:rsidP="00582988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53A3">
              <w:rPr>
                <w:rFonts w:ascii="Arial" w:hAnsi="Arial" w:cs="Arial"/>
                <w:b/>
                <w:color w:val="FFFFFF"/>
                <w:sz w:val="16"/>
                <w:szCs w:val="16"/>
              </w:rPr>
              <w:t>54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3E53A3" w:rsidRDefault="00582988" w:rsidP="0058298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53A3">
              <w:rPr>
                <w:rFonts w:ascii="Arial" w:hAnsi="Arial" w:cs="Arial"/>
                <w:b/>
                <w:color w:val="FFFFFF"/>
                <w:sz w:val="16"/>
                <w:szCs w:val="16"/>
              </w:rPr>
              <w:t>Inaugurado: 14 de enero</w:t>
            </w:r>
          </w:p>
        </w:tc>
        <w:tc>
          <w:tcPr>
            <w:tcW w:w="540" w:type="dxa"/>
            <w:vMerge/>
            <w:shd w:val="clear" w:color="auto" w:fill="99CCFF"/>
            <w:vAlign w:val="center"/>
          </w:tcPr>
          <w:p w:rsidR="00582988" w:rsidRPr="00CD00B5" w:rsidRDefault="00582988" w:rsidP="0058298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AC62B3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Certific</w:t>
            </w:r>
            <w:r w:rsidRPr="00AC62B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ado: 4 de marzo de 2009</w:t>
            </w:r>
          </w:p>
        </w:tc>
      </w:tr>
      <w:tr w:rsidR="00582988" w:rsidRPr="00CD00B5" w:rsidTr="00582988">
        <w:trPr>
          <w:trHeight w:val="270"/>
          <w:jc w:val="center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3E53A3" w:rsidRDefault="00582988" w:rsidP="005829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E53A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Valdivia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3E53A3" w:rsidRDefault="00582988" w:rsidP="005829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53A3">
              <w:rPr>
                <w:rFonts w:ascii="Arial" w:hAnsi="Arial" w:cs="Arial"/>
                <w:b/>
                <w:color w:val="FFFFFF"/>
                <w:sz w:val="16"/>
                <w:szCs w:val="16"/>
              </w:rPr>
              <w:t>Fischer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3E53A3" w:rsidRDefault="00582988" w:rsidP="00582988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53A3">
              <w:rPr>
                <w:rFonts w:ascii="Arial" w:hAnsi="Arial" w:cs="Arial"/>
                <w:b/>
                <w:color w:val="FFFFFF"/>
                <w:sz w:val="16"/>
                <w:szCs w:val="16"/>
              </w:rPr>
              <w:t>49,3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3E53A3" w:rsidRDefault="00582988" w:rsidP="0058298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53A3">
              <w:rPr>
                <w:rFonts w:ascii="Arial" w:hAnsi="Arial" w:cs="Arial"/>
                <w:b/>
                <w:color w:val="FFFFFF"/>
                <w:sz w:val="16"/>
                <w:szCs w:val="16"/>
              </w:rPr>
              <w:t>Inaugurado: 20 de febrero</w:t>
            </w:r>
          </w:p>
        </w:tc>
        <w:tc>
          <w:tcPr>
            <w:tcW w:w="540" w:type="dxa"/>
            <w:vMerge/>
            <w:shd w:val="clear" w:color="auto" w:fill="99CCFF"/>
            <w:vAlign w:val="center"/>
          </w:tcPr>
          <w:p w:rsidR="00582988" w:rsidRPr="00CD00B5" w:rsidRDefault="00582988" w:rsidP="0058298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AC62B3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Certific</w:t>
            </w:r>
            <w:r w:rsidRPr="00AC62B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ado: 6 de marzo de 2009</w:t>
            </w:r>
          </w:p>
        </w:tc>
      </w:tr>
      <w:tr w:rsidR="00582988" w:rsidRPr="00CD00B5" w:rsidTr="00582988">
        <w:trPr>
          <w:trHeight w:val="270"/>
          <w:jc w:val="center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3E53A3" w:rsidRDefault="00582988" w:rsidP="005829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E53A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Osorno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3E53A3" w:rsidRDefault="00582988" w:rsidP="005829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53A3">
              <w:rPr>
                <w:rFonts w:ascii="Arial" w:hAnsi="Arial" w:cs="Arial"/>
                <w:b/>
                <w:color w:val="FFFFFF"/>
                <w:sz w:val="16"/>
                <w:szCs w:val="16"/>
              </w:rPr>
              <w:t>Clairvest-Latin Gaming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3E53A3" w:rsidRDefault="00582988" w:rsidP="00582988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53A3">
              <w:rPr>
                <w:rFonts w:ascii="Arial" w:hAnsi="Arial" w:cs="Arial"/>
                <w:b/>
                <w:color w:val="FFFFFF"/>
                <w:sz w:val="16"/>
                <w:szCs w:val="16"/>
              </w:rPr>
              <w:t>30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3E53A3" w:rsidRDefault="00582988" w:rsidP="0058298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53A3">
              <w:rPr>
                <w:rFonts w:ascii="Arial" w:hAnsi="Arial" w:cs="Arial"/>
                <w:b/>
                <w:color w:val="FFFFFF"/>
                <w:sz w:val="16"/>
                <w:szCs w:val="16"/>
              </w:rPr>
              <w:t>Inaugurado: 13 de enero</w:t>
            </w:r>
          </w:p>
        </w:tc>
        <w:tc>
          <w:tcPr>
            <w:tcW w:w="540" w:type="dxa"/>
            <w:vMerge/>
            <w:tcBorders>
              <w:bottom w:val="single" w:sz="8" w:space="0" w:color="000000"/>
            </w:tcBorders>
            <w:shd w:val="clear" w:color="auto" w:fill="99CCFF"/>
            <w:vAlign w:val="center"/>
          </w:tcPr>
          <w:p w:rsidR="00582988" w:rsidRPr="00CD00B5" w:rsidRDefault="00582988" w:rsidP="0058298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3366CC"/>
            <w:noWrap/>
            <w:vAlign w:val="center"/>
          </w:tcPr>
          <w:p w:rsidR="00582988" w:rsidRPr="00AC62B3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Certific</w:t>
            </w:r>
            <w:r w:rsidRPr="00AC62B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ado: 29 de marzo de 2009</w:t>
            </w:r>
          </w:p>
        </w:tc>
      </w:tr>
    </w:tbl>
    <w:p w:rsidR="00582988" w:rsidRDefault="00582988" w:rsidP="00582988">
      <w:pPr>
        <w:ind w:left="-144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CD00B5">
        <w:rPr>
          <w:rFonts w:ascii="Arial" w:hAnsi="Arial" w:cs="Arial"/>
          <w:b/>
          <w:bCs/>
          <w:sz w:val="16"/>
          <w:szCs w:val="16"/>
        </w:rPr>
        <w:t>Fuente: Superintendencia de Casinos de Juego (SCJ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:rsidR="00582988" w:rsidRDefault="00582988" w:rsidP="00582988">
      <w:pPr>
        <w:ind w:left="-1440"/>
        <w:rPr>
          <w:rFonts w:ascii="Arial" w:hAnsi="Arial" w:cs="Arial"/>
          <w:b/>
          <w:bCs/>
          <w:sz w:val="16"/>
          <w:szCs w:val="16"/>
        </w:rPr>
      </w:pPr>
    </w:p>
    <w:p w:rsidR="006C00F4" w:rsidRDefault="006C00F4" w:rsidP="00582988">
      <w:pPr>
        <w:tabs>
          <w:tab w:val="num" w:pos="-3420"/>
        </w:tabs>
        <w:ind w:left="-540" w:right="-316"/>
        <w:jc w:val="center"/>
        <w:rPr>
          <w:rFonts w:ascii="Arial" w:hAnsi="Arial" w:cs="Arial"/>
          <w:b/>
        </w:rPr>
      </w:pPr>
    </w:p>
    <w:p w:rsidR="006C00F4" w:rsidRDefault="006C00F4" w:rsidP="00582988">
      <w:pPr>
        <w:tabs>
          <w:tab w:val="num" w:pos="-3420"/>
        </w:tabs>
        <w:ind w:left="-540" w:right="-316"/>
        <w:jc w:val="center"/>
        <w:rPr>
          <w:rFonts w:ascii="Arial" w:hAnsi="Arial" w:cs="Arial"/>
          <w:b/>
        </w:rPr>
      </w:pPr>
    </w:p>
    <w:p w:rsidR="00582988" w:rsidRDefault="00582988" w:rsidP="00582988">
      <w:pPr>
        <w:tabs>
          <w:tab w:val="num" w:pos="-3420"/>
        </w:tabs>
        <w:ind w:left="-540" w:right="-316"/>
        <w:jc w:val="center"/>
        <w:rPr>
          <w:rFonts w:ascii="Arial" w:hAnsi="Arial" w:cs="Arial"/>
          <w:b/>
        </w:rPr>
      </w:pPr>
      <w:r w:rsidRPr="00546FD9">
        <w:rPr>
          <w:rFonts w:ascii="Arial" w:hAnsi="Arial" w:cs="Arial"/>
          <w:b/>
        </w:rPr>
        <w:t>PROCESO 2008</w:t>
      </w:r>
    </w:p>
    <w:p w:rsidR="00582988" w:rsidRDefault="00582988" w:rsidP="00582988">
      <w:pPr>
        <w:ind w:right="99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ENTREGA EN DOS ETAPAS</w:t>
      </w:r>
      <w:r w:rsidRPr="007513F0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DE PROYECTOS INTEGRALES</w:t>
      </w:r>
    </w:p>
    <w:p w:rsidR="00582988" w:rsidRDefault="00582988" w:rsidP="00582988">
      <w:pPr>
        <w:tabs>
          <w:tab w:val="num" w:pos="-3420"/>
        </w:tabs>
        <w:ind w:left="-540" w:right="-316"/>
        <w:jc w:val="center"/>
        <w:rPr>
          <w:rFonts w:ascii="Arial" w:hAnsi="Arial" w:cs="Arial"/>
          <w:b/>
          <w:sz w:val="4"/>
          <w:szCs w:val="4"/>
        </w:rPr>
      </w:pPr>
    </w:p>
    <w:p w:rsidR="00582988" w:rsidRDefault="00582988" w:rsidP="00582988">
      <w:pPr>
        <w:tabs>
          <w:tab w:val="num" w:pos="-3420"/>
        </w:tabs>
        <w:ind w:left="-540" w:right="-316"/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1205" w:type="dxa"/>
        <w:jc w:val="center"/>
        <w:tblInd w:w="-1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046"/>
        <w:gridCol w:w="1368"/>
        <w:gridCol w:w="1260"/>
        <w:gridCol w:w="1582"/>
        <w:gridCol w:w="1765"/>
        <w:gridCol w:w="596"/>
        <w:gridCol w:w="1574"/>
        <w:gridCol w:w="1374"/>
        <w:gridCol w:w="640"/>
      </w:tblGrid>
      <w:tr w:rsidR="00582988" w:rsidRPr="00CD00B5" w:rsidTr="00582988">
        <w:trPr>
          <w:trHeight w:val="270"/>
          <w:jc w:val="center"/>
        </w:trPr>
        <w:tc>
          <w:tcPr>
            <w:tcW w:w="1046" w:type="dxa"/>
            <w:vMerge w:val="restart"/>
            <w:tcBorders>
              <w:top w:val="single" w:sz="8" w:space="0" w:color="000000"/>
            </w:tcBorders>
            <w:shd w:val="clear" w:color="auto" w:fill="003366"/>
            <w:noWrap/>
            <w:vAlign w:val="center"/>
          </w:tcPr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D00B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COMUNA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</w:tcBorders>
            <w:shd w:val="clear" w:color="auto" w:fill="003366"/>
            <w:noWrap/>
            <w:vAlign w:val="center"/>
          </w:tcPr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D00B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GRUPO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</w:tcBorders>
            <w:shd w:val="clear" w:color="auto" w:fill="003366"/>
            <w:vAlign w:val="center"/>
          </w:tcPr>
          <w:p w:rsidR="00582988" w:rsidRPr="00942D9A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42D9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INVERSIÓN (US$ Millones)</w:t>
            </w:r>
          </w:p>
        </w:tc>
        <w:tc>
          <w:tcPr>
            <w:tcW w:w="394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003366"/>
            <w:noWrap/>
            <w:vAlign w:val="center"/>
          </w:tcPr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ETAPA I: </w:t>
            </w:r>
            <w:r w:rsidRPr="00CD00B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CASINO DE JUEGO</w:t>
            </w:r>
          </w:p>
        </w:tc>
        <w:tc>
          <w:tcPr>
            <w:tcW w:w="358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003366"/>
            <w:noWrap/>
            <w:vAlign w:val="center"/>
          </w:tcPr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ETAPA II: </w:t>
            </w:r>
            <w:r w:rsidRPr="00CD00B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OBRAS ADICIONALES</w:t>
            </w:r>
          </w:p>
        </w:tc>
      </w:tr>
      <w:tr w:rsidR="00582988" w:rsidRPr="00CD00B5" w:rsidTr="00CA0A85">
        <w:trPr>
          <w:trHeight w:val="525"/>
          <w:jc w:val="center"/>
        </w:trPr>
        <w:tc>
          <w:tcPr>
            <w:tcW w:w="1046" w:type="dxa"/>
            <w:vMerge/>
            <w:tcBorders>
              <w:bottom w:val="single" w:sz="8" w:space="0" w:color="000000"/>
            </w:tcBorders>
            <w:shd w:val="clear" w:color="auto" w:fill="003366"/>
            <w:vAlign w:val="center"/>
          </w:tcPr>
          <w:p w:rsidR="00582988" w:rsidRPr="00CD00B5" w:rsidRDefault="00582988" w:rsidP="005829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bottom w:val="single" w:sz="8" w:space="0" w:color="000000"/>
            </w:tcBorders>
            <w:shd w:val="clear" w:color="auto" w:fill="003366"/>
            <w:vAlign w:val="center"/>
          </w:tcPr>
          <w:p w:rsidR="00582988" w:rsidRPr="00CD00B5" w:rsidRDefault="00582988" w:rsidP="005829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8" w:space="0" w:color="000000"/>
            </w:tcBorders>
            <w:shd w:val="clear" w:color="auto" w:fill="003366"/>
            <w:vAlign w:val="center"/>
          </w:tcPr>
          <w:p w:rsidR="00582988" w:rsidRPr="00CD00B5" w:rsidRDefault="00582988" w:rsidP="005829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82" w:type="dxa"/>
            <w:tcBorders>
              <w:bottom w:val="single" w:sz="8" w:space="0" w:color="000000"/>
            </w:tcBorders>
            <w:shd w:val="clear" w:color="auto" w:fill="003366"/>
            <w:vAlign w:val="center"/>
          </w:tcPr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D00B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PLAZO COMPROMETIDO</w:t>
            </w:r>
          </w:p>
        </w:tc>
        <w:tc>
          <w:tcPr>
            <w:tcW w:w="1765" w:type="dxa"/>
            <w:tcBorders>
              <w:bottom w:val="single" w:sz="8" w:space="0" w:color="000000"/>
            </w:tcBorders>
            <w:shd w:val="clear" w:color="auto" w:fill="003366"/>
            <w:vAlign w:val="center"/>
          </w:tcPr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FECHA LÍMITE </w:t>
            </w:r>
          </w:p>
        </w:tc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3366"/>
            <w:vAlign w:val="center"/>
          </w:tcPr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AÑ</w:t>
            </w:r>
            <w:r w:rsidRPr="00CD00B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</w:t>
            </w:r>
          </w:p>
        </w:tc>
        <w:tc>
          <w:tcPr>
            <w:tcW w:w="15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3366"/>
            <w:vAlign w:val="center"/>
          </w:tcPr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D00B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PLAZO COMPROMETIDO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3366"/>
            <w:vAlign w:val="center"/>
          </w:tcPr>
          <w:p w:rsidR="00582988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D00B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FECHA LÍMITE </w:t>
            </w:r>
          </w:p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003366"/>
            <w:vAlign w:val="center"/>
          </w:tcPr>
          <w:p w:rsidR="00582988" w:rsidRPr="00CD00B5" w:rsidRDefault="00582988" w:rsidP="005829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D00B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AÑO</w:t>
            </w:r>
          </w:p>
        </w:tc>
      </w:tr>
      <w:tr w:rsidR="000E0B52" w:rsidRPr="00CD00B5" w:rsidTr="00582988">
        <w:trPr>
          <w:trHeight w:val="255"/>
          <w:jc w:val="center"/>
        </w:trPr>
        <w:tc>
          <w:tcPr>
            <w:tcW w:w="1046" w:type="dxa"/>
            <w:tcBorders>
              <w:top w:val="single" w:sz="8" w:space="0" w:color="000000"/>
              <w:bottom w:val="single" w:sz="8" w:space="0" w:color="000000"/>
            </w:tcBorders>
            <w:shd w:val="clear" w:color="1F497D" w:fill="003366"/>
            <w:noWrap/>
            <w:vAlign w:val="center"/>
          </w:tcPr>
          <w:p w:rsidR="000E0B52" w:rsidRPr="00D15BBC" w:rsidRDefault="000E0B52" w:rsidP="005829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15BB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Ovalle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0E0B52" w:rsidRPr="009D3F38" w:rsidRDefault="000E0B52" w:rsidP="00582988">
            <w:pPr>
              <w:rPr>
                <w:rFonts w:ascii="Arial" w:hAnsi="Arial" w:cs="Arial"/>
                <w:sz w:val="16"/>
                <w:szCs w:val="16"/>
              </w:rPr>
            </w:pPr>
            <w:r w:rsidRPr="009D3F38">
              <w:rPr>
                <w:rFonts w:ascii="Arial" w:hAnsi="Arial" w:cs="Arial"/>
                <w:sz w:val="16"/>
                <w:szCs w:val="16"/>
              </w:rPr>
              <w:t>Casinos Austria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0E0B52" w:rsidRPr="009D3F38" w:rsidRDefault="000E0B52" w:rsidP="005829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0E0B52" w:rsidRPr="009D3F38" w:rsidRDefault="000E0B52" w:rsidP="005829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 meses</w:t>
            </w:r>
          </w:p>
        </w:tc>
        <w:tc>
          <w:tcPr>
            <w:tcW w:w="1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E0B52" w:rsidRPr="009D3F38" w:rsidRDefault="000E0B52" w:rsidP="005829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 de mayo</w:t>
            </w:r>
          </w:p>
        </w:tc>
        <w:tc>
          <w:tcPr>
            <w:tcW w:w="596" w:type="dxa"/>
            <w:vMerge w:val="restart"/>
            <w:tcBorders>
              <w:top w:val="nil"/>
            </w:tcBorders>
            <w:shd w:val="clear" w:color="auto" w:fill="BFBFBF"/>
            <w:vAlign w:val="center"/>
          </w:tcPr>
          <w:p w:rsidR="000E0B52" w:rsidRPr="00CD00B5" w:rsidRDefault="000E0B52" w:rsidP="0058298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5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0E0B52" w:rsidRPr="009D3F38" w:rsidRDefault="000E0B52" w:rsidP="00582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meses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B52" w:rsidRPr="009D3F38" w:rsidRDefault="000E0B52" w:rsidP="00582988">
            <w:pPr>
              <w:rPr>
                <w:rFonts w:ascii="Arial" w:hAnsi="Arial" w:cs="Arial"/>
                <w:sz w:val="16"/>
                <w:szCs w:val="16"/>
              </w:rPr>
            </w:pPr>
            <w:r w:rsidRPr="009D3F38">
              <w:rPr>
                <w:rFonts w:ascii="Arial" w:hAnsi="Arial" w:cs="Arial"/>
                <w:sz w:val="16"/>
                <w:szCs w:val="16"/>
              </w:rPr>
              <w:t xml:space="preserve">8 de </w:t>
            </w:r>
            <w:r>
              <w:rPr>
                <w:rFonts w:ascii="Arial" w:hAnsi="Arial" w:cs="Arial"/>
                <w:sz w:val="16"/>
                <w:szCs w:val="16"/>
              </w:rPr>
              <w:t>mayo</w:t>
            </w:r>
          </w:p>
        </w:tc>
        <w:tc>
          <w:tcPr>
            <w:tcW w:w="640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0E0B52" w:rsidRPr="009D3F38" w:rsidRDefault="000E0B52" w:rsidP="005829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2011</w:t>
            </w:r>
          </w:p>
        </w:tc>
      </w:tr>
      <w:tr w:rsidR="000E0B52" w:rsidRPr="00CD00B5" w:rsidTr="006C00F4">
        <w:trPr>
          <w:trHeight w:val="255"/>
          <w:jc w:val="center"/>
        </w:trPr>
        <w:tc>
          <w:tcPr>
            <w:tcW w:w="1046" w:type="dxa"/>
            <w:tcBorders>
              <w:top w:val="single" w:sz="8" w:space="0" w:color="000000"/>
              <w:bottom w:val="single" w:sz="8" w:space="0" w:color="000000"/>
            </w:tcBorders>
            <w:shd w:val="clear" w:color="1F497D" w:fill="003366"/>
            <w:noWrap/>
            <w:vAlign w:val="center"/>
          </w:tcPr>
          <w:p w:rsidR="000E0B52" w:rsidRPr="00D15BBC" w:rsidRDefault="000E0B52" w:rsidP="005829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15BB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Coyhaique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0E0B52" w:rsidRPr="009D3F38" w:rsidRDefault="000E0B52" w:rsidP="00582988">
            <w:pPr>
              <w:rPr>
                <w:rFonts w:ascii="Arial" w:hAnsi="Arial" w:cs="Arial"/>
                <w:sz w:val="16"/>
                <w:szCs w:val="16"/>
              </w:rPr>
            </w:pPr>
            <w:r w:rsidRPr="009D3F38">
              <w:rPr>
                <w:rFonts w:ascii="Arial" w:hAnsi="Arial" w:cs="Arial"/>
                <w:sz w:val="16"/>
                <w:szCs w:val="16"/>
              </w:rPr>
              <w:t>Fischer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0E0B52" w:rsidRPr="009D3F38" w:rsidRDefault="000E0B52" w:rsidP="005829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5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0E0B52" w:rsidRPr="009D3F38" w:rsidRDefault="000E0B52" w:rsidP="00582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meses</w:t>
            </w:r>
          </w:p>
        </w:tc>
        <w:tc>
          <w:tcPr>
            <w:tcW w:w="1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E0B52" w:rsidRPr="009D3F38" w:rsidRDefault="000E0B52" w:rsidP="00582988">
            <w:pPr>
              <w:rPr>
                <w:rFonts w:ascii="Arial" w:hAnsi="Arial" w:cs="Arial"/>
                <w:sz w:val="16"/>
                <w:szCs w:val="16"/>
              </w:rPr>
            </w:pPr>
            <w:r w:rsidRPr="009D3F38">
              <w:rPr>
                <w:rFonts w:ascii="Arial" w:hAnsi="Arial" w:cs="Arial"/>
                <w:sz w:val="16"/>
                <w:szCs w:val="16"/>
              </w:rPr>
              <w:t xml:space="preserve">8 de </w:t>
            </w:r>
            <w:r>
              <w:rPr>
                <w:rFonts w:ascii="Arial" w:hAnsi="Arial" w:cs="Arial"/>
                <w:sz w:val="16"/>
                <w:szCs w:val="16"/>
              </w:rPr>
              <w:t>mayo</w:t>
            </w:r>
          </w:p>
        </w:tc>
        <w:tc>
          <w:tcPr>
            <w:tcW w:w="596" w:type="dxa"/>
            <w:vMerge/>
            <w:shd w:val="clear" w:color="auto" w:fill="BFBFBF"/>
            <w:noWrap/>
            <w:vAlign w:val="center"/>
          </w:tcPr>
          <w:p w:rsidR="000E0B52" w:rsidRPr="00CD00B5" w:rsidRDefault="000E0B52" w:rsidP="0058298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0E0B52" w:rsidRPr="009D3F38" w:rsidRDefault="000E0B52" w:rsidP="00582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meses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0E0B52" w:rsidRPr="009D3F38" w:rsidRDefault="000E0B52" w:rsidP="00582988">
            <w:pPr>
              <w:rPr>
                <w:rFonts w:ascii="Arial" w:hAnsi="Arial" w:cs="Arial"/>
                <w:sz w:val="16"/>
                <w:szCs w:val="16"/>
              </w:rPr>
            </w:pPr>
            <w:r w:rsidRPr="009D3F38">
              <w:rPr>
                <w:rFonts w:ascii="Arial" w:hAnsi="Arial" w:cs="Arial"/>
                <w:sz w:val="16"/>
                <w:szCs w:val="16"/>
              </w:rPr>
              <w:t xml:space="preserve">8 de </w:t>
            </w:r>
            <w:r>
              <w:rPr>
                <w:rFonts w:ascii="Arial" w:hAnsi="Arial" w:cs="Arial"/>
                <w:sz w:val="16"/>
                <w:szCs w:val="16"/>
              </w:rPr>
              <w:t>mayo</w:t>
            </w:r>
          </w:p>
        </w:tc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E0B52" w:rsidRPr="00CD00B5" w:rsidRDefault="000E0B52" w:rsidP="005829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0B52" w:rsidTr="000E0B52">
        <w:trPr>
          <w:trHeight w:val="270"/>
          <w:jc w:val="center"/>
        </w:trPr>
        <w:tc>
          <w:tcPr>
            <w:tcW w:w="1046" w:type="dxa"/>
            <w:tcBorders>
              <w:top w:val="single" w:sz="8" w:space="0" w:color="000000"/>
              <w:bottom w:val="single" w:sz="8" w:space="0" w:color="000000"/>
            </w:tcBorders>
            <w:shd w:val="clear" w:color="1F497D" w:fill="003366"/>
            <w:noWrap/>
            <w:vAlign w:val="center"/>
          </w:tcPr>
          <w:p w:rsidR="000E0B52" w:rsidRPr="002B5D59" w:rsidRDefault="000E0B52" w:rsidP="000E0B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D59">
              <w:rPr>
                <w:rFonts w:ascii="Arial" w:hAnsi="Arial" w:cs="Arial"/>
                <w:b/>
                <w:bCs/>
                <w:sz w:val="16"/>
                <w:szCs w:val="16"/>
              </w:rPr>
              <w:t>Castro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0E0B52" w:rsidRPr="002B5D59" w:rsidRDefault="000E0B52" w:rsidP="000E0B52">
            <w:pPr>
              <w:rPr>
                <w:rFonts w:ascii="Arial" w:hAnsi="Arial" w:cs="Arial"/>
                <w:sz w:val="16"/>
                <w:szCs w:val="16"/>
              </w:rPr>
            </w:pPr>
            <w:r w:rsidRPr="002B5D59">
              <w:rPr>
                <w:rFonts w:ascii="Arial" w:hAnsi="Arial" w:cs="Arial"/>
                <w:sz w:val="16"/>
                <w:szCs w:val="16"/>
              </w:rPr>
              <w:t>Enjoy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0E0B52" w:rsidRPr="002B5D59" w:rsidRDefault="000E0B52" w:rsidP="000E0B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5D59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5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0E0B52" w:rsidRPr="002B5D59" w:rsidRDefault="000E0B52" w:rsidP="000E0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meses</w:t>
            </w:r>
          </w:p>
        </w:tc>
        <w:tc>
          <w:tcPr>
            <w:tcW w:w="1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E0B52" w:rsidRPr="002B5D59" w:rsidRDefault="000E0B52" w:rsidP="000E0B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 de mayo </w:t>
            </w:r>
          </w:p>
        </w:tc>
        <w:tc>
          <w:tcPr>
            <w:tcW w:w="596" w:type="dxa"/>
            <w:vMerge/>
            <w:tcBorders>
              <w:bottom w:val="single" w:sz="8" w:space="0" w:color="000000"/>
            </w:tcBorders>
            <w:shd w:val="clear" w:color="auto" w:fill="92CDDC"/>
            <w:vAlign w:val="center"/>
          </w:tcPr>
          <w:p w:rsidR="000E0B52" w:rsidRPr="002B5D59" w:rsidRDefault="000E0B52" w:rsidP="000E0B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B52" w:rsidRPr="002B5D59" w:rsidRDefault="000E0B52" w:rsidP="000E0B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 meses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0B52" w:rsidRPr="002B5D59" w:rsidRDefault="008531FA" w:rsidP="000E0B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 de septiembre</w:t>
            </w:r>
            <w:r w:rsidR="000E0B5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1849B"/>
            <w:vAlign w:val="center"/>
          </w:tcPr>
          <w:p w:rsidR="000E0B52" w:rsidRDefault="000E0B52" w:rsidP="000E0B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</w:t>
            </w:r>
          </w:p>
        </w:tc>
      </w:tr>
    </w:tbl>
    <w:p w:rsidR="00582988" w:rsidRDefault="008531FA" w:rsidP="00582988">
      <w:pPr>
        <w:ind w:left="-144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="00582988" w:rsidRPr="00CD00B5">
        <w:rPr>
          <w:rFonts w:ascii="Arial" w:hAnsi="Arial" w:cs="Arial"/>
          <w:b/>
          <w:bCs/>
          <w:sz w:val="16"/>
          <w:szCs w:val="16"/>
        </w:rPr>
        <w:t>Fuente: Superintendencia de Casinos de Juego (SCJ</w:t>
      </w:r>
      <w:r w:rsidR="00582988">
        <w:rPr>
          <w:rFonts w:ascii="Arial" w:hAnsi="Arial" w:cs="Arial"/>
          <w:b/>
          <w:bCs/>
          <w:sz w:val="16"/>
          <w:szCs w:val="16"/>
        </w:rPr>
        <w:t>)</w:t>
      </w:r>
    </w:p>
    <w:p w:rsidR="00582988" w:rsidRPr="003E5C45" w:rsidRDefault="00582988" w:rsidP="00582988">
      <w:pPr>
        <w:tabs>
          <w:tab w:val="num" w:pos="-3420"/>
        </w:tabs>
        <w:ind w:left="-1276" w:right="-316"/>
        <w:rPr>
          <w:rFonts w:ascii="Arial" w:hAnsi="Arial" w:cs="Arial"/>
          <w:b/>
          <w:sz w:val="4"/>
          <w:szCs w:val="4"/>
        </w:rPr>
      </w:pPr>
    </w:p>
    <w:p w:rsidR="00582988" w:rsidRDefault="00582988" w:rsidP="00582988">
      <w:pPr>
        <w:tabs>
          <w:tab w:val="num" w:pos="-3420"/>
        </w:tabs>
        <w:ind w:right="44"/>
        <w:jc w:val="both"/>
        <w:rPr>
          <w:rFonts w:ascii="Calibri" w:hAnsi="Calibri" w:cs="Arial"/>
          <w:color w:val="000000"/>
          <w:sz w:val="21"/>
          <w:szCs w:val="21"/>
        </w:rPr>
      </w:pPr>
    </w:p>
    <w:p w:rsidR="00582988" w:rsidRDefault="00582988" w:rsidP="00582988"/>
    <w:p w:rsidR="00582988" w:rsidRDefault="00582988" w:rsidP="00582988"/>
    <w:p w:rsidR="00582988" w:rsidRPr="00920F75" w:rsidRDefault="00582988" w:rsidP="00023CE2">
      <w:pPr>
        <w:tabs>
          <w:tab w:val="num" w:pos="-3420"/>
        </w:tabs>
        <w:ind w:left="-540" w:right="-316"/>
        <w:jc w:val="center"/>
        <w:rPr>
          <w:rFonts w:ascii="Calibri" w:hAnsi="Calibri" w:cs="Arial"/>
          <w:color w:val="000000"/>
          <w:sz w:val="21"/>
          <w:szCs w:val="21"/>
        </w:rPr>
      </w:pPr>
    </w:p>
    <w:sectPr w:rsidR="00582988" w:rsidRPr="00920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3DE"/>
    <w:multiLevelType w:val="hybridMultilevel"/>
    <w:tmpl w:val="1332C5A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A0F35"/>
    <w:multiLevelType w:val="hybridMultilevel"/>
    <w:tmpl w:val="4C46A0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E4F93"/>
    <w:multiLevelType w:val="hybridMultilevel"/>
    <w:tmpl w:val="04C09B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05A64"/>
    <w:multiLevelType w:val="hybridMultilevel"/>
    <w:tmpl w:val="E2F219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70FD1"/>
    <w:multiLevelType w:val="hybridMultilevel"/>
    <w:tmpl w:val="E35036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D7503"/>
    <w:multiLevelType w:val="hybridMultilevel"/>
    <w:tmpl w:val="9DD0C930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4E3"/>
    <w:rsid w:val="000041D3"/>
    <w:rsid w:val="00010FB0"/>
    <w:rsid w:val="0001105D"/>
    <w:rsid w:val="000120AF"/>
    <w:rsid w:val="0001254A"/>
    <w:rsid w:val="00017CC1"/>
    <w:rsid w:val="00020104"/>
    <w:rsid w:val="0002258E"/>
    <w:rsid w:val="00023CE2"/>
    <w:rsid w:val="0002463E"/>
    <w:rsid w:val="00024BCB"/>
    <w:rsid w:val="0002545C"/>
    <w:rsid w:val="00026428"/>
    <w:rsid w:val="00026AD0"/>
    <w:rsid w:val="00033199"/>
    <w:rsid w:val="00034B73"/>
    <w:rsid w:val="00034E0E"/>
    <w:rsid w:val="00045512"/>
    <w:rsid w:val="000474D1"/>
    <w:rsid w:val="00053D1D"/>
    <w:rsid w:val="000561D8"/>
    <w:rsid w:val="000563F4"/>
    <w:rsid w:val="00056A7D"/>
    <w:rsid w:val="00056BBD"/>
    <w:rsid w:val="00062CEB"/>
    <w:rsid w:val="00062F57"/>
    <w:rsid w:val="0006315B"/>
    <w:rsid w:val="00064EB7"/>
    <w:rsid w:val="000659B5"/>
    <w:rsid w:val="000665F6"/>
    <w:rsid w:val="000719CF"/>
    <w:rsid w:val="00072ACB"/>
    <w:rsid w:val="00074657"/>
    <w:rsid w:val="0007474E"/>
    <w:rsid w:val="00082110"/>
    <w:rsid w:val="0008211A"/>
    <w:rsid w:val="0008252E"/>
    <w:rsid w:val="00084886"/>
    <w:rsid w:val="00085FEF"/>
    <w:rsid w:val="000867A6"/>
    <w:rsid w:val="00090AD7"/>
    <w:rsid w:val="000932BE"/>
    <w:rsid w:val="00093954"/>
    <w:rsid w:val="00096ABD"/>
    <w:rsid w:val="000A0BD7"/>
    <w:rsid w:val="000A24F9"/>
    <w:rsid w:val="000A2921"/>
    <w:rsid w:val="000A6FB5"/>
    <w:rsid w:val="000A7929"/>
    <w:rsid w:val="000B21C4"/>
    <w:rsid w:val="000B2D3B"/>
    <w:rsid w:val="000B38E0"/>
    <w:rsid w:val="000B42DB"/>
    <w:rsid w:val="000B543C"/>
    <w:rsid w:val="000B55DE"/>
    <w:rsid w:val="000B7EFA"/>
    <w:rsid w:val="000C0541"/>
    <w:rsid w:val="000C1B6E"/>
    <w:rsid w:val="000C1C81"/>
    <w:rsid w:val="000C242A"/>
    <w:rsid w:val="000C53D8"/>
    <w:rsid w:val="000C5964"/>
    <w:rsid w:val="000D7480"/>
    <w:rsid w:val="000E0B52"/>
    <w:rsid w:val="000E3192"/>
    <w:rsid w:val="000E50D6"/>
    <w:rsid w:val="000E799A"/>
    <w:rsid w:val="000F5836"/>
    <w:rsid w:val="001074B8"/>
    <w:rsid w:val="00115416"/>
    <w:rsid w:val="00121851"/>
    <w:rsid w:val="001349FE"/>
    <w:rsid w:val="00137AEA"/>
    <w:rsid w:val="001410D5"/>
    <w:rsid w:val="00144AAC"/>
    <w:rsid w:val="001500F3"/>
    <w:rsid w:val="00151CC9"/>
    <w:rsid w:val="00152F10"/>
    <w:rsid w:val="0016294F"/>
    <w:rsid w:val="00165F99"/>
    <w:rsid w:val="0017217A"/>
    <w:rsid w:val="00174586"/>
    <w:rsid w:val="001777CE"/>
    <w:rsid w:val="001778E2"/>
    <w:rsid w:val="00183B8E"/>
    <w:rsid w:val="001862AD"/>
    <w:rsid w:val="00195909"/>
    <w:rsid w:val="001A418F"/>
    <w:rsid w:val="001A4493"/>
    <w:rsid w:val="001A4E93"/>
    <w:rsid w:val="001A505A"/>
    <w:rsid w:val="001A7FDE"/>
    <w:rsid w:val="001B0612"/>
    <w:rsid w:val="001B42C7"/>
    <w:rsid w:val="001B5871"/>
    <w:rsid w:val="001B59BE"/>
    <w:rsid w:val="001B5A6B"/>
    <w:rsid w:val="001B6238"/>
    <w:rsid w:val="001D0622"/>
    <w:rsid w:val="001D4826"/>
    <w:rsid w:val="001D6464"/>
    <w:rsid w:val="001D7FDE"/>
    <w:rsid w:val="001E1434"/>
    <w:rsid w:val="001E2005"/>
    <w:rsid w:val="001E587A"/>
    <w:rsid w:val="001E66BF"/>
    <w:rsid w:val="001F03B1"/>
    <w:rsid w:val="001F18EE"/>
    <w:rsid w:val="001F1DEB"/>
    <w:rsid w:val="001F2D36"/>
    <w:rsid w:val="001F3233"/>
    <w:rsid w:val="001F4555"/>
    <w:rsid w:val="00203B8D"/>
    <w:rsid w:val="00204C86"/>
    <w:rsid w:val="00205AD8"/>
    <w:rsid w:val="0022389F"/>
    <w:rsid w:val="00223BF1"/>
    <w:rsid w:val="00225D8C"/>
    <w:rsid w:val="00227CA1"/>
    <w:rsid w:val="00232605"/>
    <w:rsid w:val="00234078"/>
    <w:rsid w:val="00237854"/>
    <w:rsid w:val="00242B16"/>
    <w:rsid w:val="00244397"/>
    <w:rsid w:val="002459BD"/>
    <w:rsid w:val="002465B4"/>
    <w:rsid w:val="0024781A"/>
    <w:rsid w:val="002506C9"/>
    <w:rsid w:val="00250DD7"/>
    <w:rsid w:val="00253FC2"/>
    <w:rsid w:val="00264028"/>
    <w:rsid w:val="00264AD5"/>
    <w:rsid w:val="00265131"/>
    <w:rsid w:val="00265DE3"/>
    <w:rsid w:val="00266CD3"/>
    <w:rsid w:val="00267562"/>
    <w:rsid w:val="0027265A"/>
    <w:rsid w:val="0027333B"/>
    <w:rsid w:val="00274199"/>
    <w:rsid w:val="00275C29"/>
    <w:rsid w:val="002817EA"/>
    <w:rsid w:val="0028256F"/>
    <w:rsid w:val="00284886"/>
    <w:rsid w:val="00292937"/>
    <w:rsid w:val="00293BAB"/>
    <w:rsid w:val="00294DBC"/>
    <w:rsid w:val="002A3F62"/>
    <w:rsid w:val="002A567C"/>
    <w:rsid w:val="002A6892"/>
    <w:rsid w:val="002A72E8"/>
    <w:rsid w:val="002B3D0B"/>
    <w:rsid w:val="002B7566"/>
    <w:rsid w:val="002C0432"/>
    <w:rsid w:val="002C06D8"/>
    <w:rsid w:val="002C3B65"/>
    <w:rsid w:val="002C73B0"/>
    <w:rsid w:val="002C7DDF"/>
    <w:rsid w:val="002D100C"/>
    <w:rsid w:val="002D18A6"/>
    <w:rsid w:val="002D577D"/>
    <w:rsid w:val="002D62B5"/>
    <w:rsid w:val="002D7861"/>
    <w:rsid w:val="002F5A4B"/>
    <w:rsid w:val="002F799A"/>
    <w:rsid w:val="002F7A77"/>
    <w:rsid w:val="00314592"/>
    <w:rsid w:val="00321041"/>
    <w:rsid w:val="003252B1"/>
    <w:rsid w:val="00327057"/>
    <w:rsid w:val="00327385"/>
    <w:rsid w:val="00344283"/>
    <w:rsid w:val="0034675C"/>
    <w:rsid w:val="0034735C"/>
    <w:rsid w:val="00351D1B"/>
    <w:rsid w:val="00352160"/>
    <w:rsid w:val="00352A4F"/>
    <w:rsid w:val="00352E05"/>
    <w:rsid w:val="00354296"/>
    <w:rsid w:val="0035776B"/>
    <w:rsid w:val="00357AD3"/>
    <w:rsid w:val="00365FAD"/>
    <w:rsid w:val="003705AC"/>
    <w:rsid w:val="003739EA"/>
    <w:rsid w:val="0038083D"/>
    <w:rsid w:val="0038788B"/>
    <w:rsid w:val="00394661"/>
    <w:rsid w:val="00394D79"/>
    <w:rsid w:val="0039512E"/>
    <w:rsid w:val="00395620"/>
    <w:rsid w:val="003A495B"/>
    <w:rsid w:val="003B01BD"/>
    <w:rsid w:val="003B13EB"/>
    <w:rsid w:val="003B2FBF"/>
    <w:rsid w:val="003B3438"/>
    <w:rsid w:val="003B6EBF"/>
    <w:rsid w:val="003B72E4"/>
    <w:rsid w:val="003C0992"/>
    <w:rsid w:val="003C34E0"/>
    <w:rsid w:val="003C3E38"/>
    <w:rsid w:val="003D0A26"/>
    <w:rsid w:val="003D5CA4"/>
    <w:rsid w:val="003D61D3"/>
    <w:rsid w:val="003D79C6"/>
    <w:rsid w:val="003E6D92"/>
    <w:rsid w:val="004014B4"/>
    <w:rsid w:val="0041041B"/>
    <w:rsid w:val="0041464D"/>
    <w:rsid w:val="00416D53"/>
    <w:rsid w:val="00420E8E"/>
    <w:rsid w:val="00421BC7"/>
    <w:rsid w:val="004220E0"/>
    <w:rsid w:val="004239B8"/>
    <w:rsid w:val="00426161"/>
    <w:rsid w:val="00426E2D"/>
    <w:rsid w:val="004336CE"/>
    <w:rsid w:val="0043423E"/>
    <w:rsid w:val="0043794C"/>
    <w:rsid w:val="00441973"/>
    <w:rsid w:val="004424F2"/>
    <w:rsid w:val="004444CB"/>
    <w:rsid w:val="004527A9"/>
    <w:rsid w:val="004561EE"/>
    <w:rsid w:val="0046363B"/>
    <w:rsid w:val="00464087"/>
    <w:rsid w:val="00465F70"/>
    <w:rsid w:val="004754DC"/>
    <w:rsid w:val="00476330"/>
    <w:rsid w:val="0048006C"/>
    <w:rsid w:val="0048044D"/>
    <w:rsid w:val="004836A5"/>
    <w:rsid w:val="00492EBF"/>
    <w:rsid w:val="00495F9A"/>
    <w:rsid w:val="004A4219"/>
    <w:rsid w:val="004A5614"/>
    <w:rsid w:val="004B0374"/>
    <w:rsid w:val="004B4392"/>
    <w:rsid w:val="004B4E18"/>
    <w:rsid w:val="004B606F"/>
    <w:rsid w:val="004B6EB4"/>
    <w:rsid w:val="004C1701"/>
    <w:rsid w:val="004C3B73"/>
    <w:rsid w:val="004C3D76"/>
    <w:rsid w:val="004C49A6"/>
    <w:rsid w:val="004C5106"/>
    <w:rsid w:val="004D1557"/>
    <w:rsid w:val="004D39AA"/>
    <w:rsid w:val="004D3A01"/>
    <w:rsid w:val="004D3BA9"/>
    <w:rsid w:val="004D770E"/>
    <w:rsid w:val="004F094B"/>
    <w:rsid w:val="004F0F8F"/>
    <w:rsid w:val="004F5AA6"/>
    <w:rsid w:val="004F5B50"/>
    <w:rsid w:val="004F5DA5"/>
    <w:rsid w:val="004F750D"/>
    <w:rsid w:val="004F7986"/>
    <w:rsid w:val="00500692"/>
    <w:rsid w:val="005036A3"/>
    <w:rsid w:val="00506758"/>
    <w:rsid w:val="005118C0"/>
    <w:rsid w:val="0051205D"/>
    <w:rsid w:val="0051281B"/>
    <w:rsid w:val="00520CFC"/>
    <w:rsid w:val="00523554"/>
    <w:rsid w:val="00532409"/>
    <w:rsid w:val="0054600F"/>
    <w:rsid w:val="00547D75"/>
    <w:rsid w:val="0055294D"/>
    <w:rsid w:val="00553106"/>
    <w:rsid w:val="0055371C"/>
    <w:rsid w:val="005545C3"/>
    <w:rsid w:val="00556007"/>
    <w:rsid w:val="00557FAA"/>
    <w:rsid w:val="00562E89"/>
    <w:rsid w:val="00563B47"/>
    <w:rsid w:val="00565848"/>
    <w:rsid w:val="00571FCD"/>
    <w:rsid w:val="00573DC6"/>
    <w:rsid w:val="00582988"/>
    <w:rsid w:val="00586FDA"/>
    <w:rsid w:val="00590497"/>
    <w:rsid w:val="00590AE3"/>
    <w:rsid w:val="005A06C1"/>
    <w:rsid w:val="005A2187"/>
    <w:rsid w:val="005A3553"/>
    <w:rsid w:val="005A5156"/>
    <w:rsid w:val="005A5886"/>
    <w:rsid w:val="005A68E3"/>
    <w:rsid w:val="005A7EA2"/>
    <w:rsid w:val="005B2907"/>
    <w:rsid w:val="005B70C3"/>
    <w:rsid w:val="005B7D39"/>
    <w:rsid w:val="005C1C71"/>
    <w:rsid w:val="005C1E40"/>
    <w:rsid w:val="005C6270"/>
    <w:rsid w:val="005D042F"/>
    <w:rsid w:val="005D2DA8"/>
    <w:rsid w:val="005D60F5"/>
    <w:rsid w:val="005E2418"/>
    <w:rsid w:val="005E4F08"/>
    <w:rsid w:val="005E7AF5"/>
    <w:rsid w:val="005F2085"/>
    <w:rsid w:val="005F247E"/>
    <w:rsid w:val="005F34AE"/>
    <w:rsid w:val="005F4409"/>
    <w:rsid w:val="005F4FC0"/>
    <w:rsid w:val="005F71D1"/>
    <w:rsid w:val="00602E4B"/>
    <w:rsid w:val="00603218"/>
    <w:rsid w:val="00611DA1"/>
    <w:rsid w:val="00612B1B"/>
    <w:rsid w:val="00614AA1"/>
    <w:rsid w:val="00616C82"/>
    <w:rsid w:val="00617664"/>
    <w:rsid w:val="0062072C"/>
    <w:rsid w:val="0062488C"/>
    <w:rsid w:val="0062566E"/>
    <w:rsid w:val="006301B0"/>
    <w:rsid w:val="0064468F"/>
    <w:rsid w:val="006446C7"/>
    <w:rsid w:val="0064601D"/>
    <w:rsid w:val="006513AD"/>
    <w:rsid w:val="00651CD0"/>
    <w:rsid w:val="00653C73"/>
    <w:rsid w:val="00653E48"/>
    <w:rsid w:val="00655189"/>
    <w:rsid w:val="006576BA"/>
    <w:rsid w:val="00663FE7"/>
    <w:rsid w:val="006649E9"/>
    <w:rsid w:val="00673556"/>
    <w:rsid w:val="0067438E"/>
    <w:rsid w:val="006755F9"/>
    <w:rsid w:val="006759CC"/>
    <w:rsid w:val="006759EA"/>
    <w:rsid w:val="006814F6"/>
    <w:rsid w:val="0068163B"/>
    <w:rsid w:val="00681D2F"/>
    <w:rsid w:val="00683D73"/>
    <w:rsid w:val="006852BC"/>
    <w:rsid w:val="006951B7"/>
    <w:rsid w:val="006956CB"/>
    <w:rsid w:val="006958A5"/>
    <w:rsid w:val="006A4FC2"/>
    <w:rsid w:val="006A55D9"/>
    <w:rsid w:val="006A72DB"/>
    <w:rsid w:val="006B5BD6"/>
    <w:rsid w:val="006C00F4"/>
    <w:rsid w:val="006C7B28"/>
    <w:rsid w:val="006C7C7C"/>
    <w:rsid w:val="006D048B"/>
    <w:rsid w:val="006D13E1"/>
    <w:rsid w:val="006D3CAA"/>
    <w:rsid w:val="006D6F27"/>
    <w:rsid w:val="006D74BD"/>
    <w:rsid w:val="006E0669"/>
    <w:rsid w:val="006E1845"/>
    <w:rsid w:val="006E4783"/>
    <w:rsid w:val="006E5C3A"/>
    <w:rsid w:val="006E7C07"/>
    <w:rsid w:val="006F2D73"/>
    <w:rsid w:val="006F4B8C"/>
    <w:rsid w:val="006F4B8D"/>
    <w:rsid w:val="006F57EB"/>
    <w:rsid w:val="006F6203"/>
    <w:rsid w:val="006F7D31"/>
    <w:rsid w:val="00700279"/>
    <w:rsid w:val="00702254"/>
    <w:rsid w:val="007026A6"/>
    <w:rsid w:val="00703DD6"/>
    <w:rsid w:val="00704200"/>
    <w:rsid w:val="00704FDA"/>
    <w:rsid w:val="007054BF"/>
    <w:rsid w:val="00711613"/>
    <w:rsid w:val="007120C6"/>
    <w:rsid w:val="007123AB"/>
    <w:rsid w:val="00713312"/>
    <w:rsid w:val="007158DF"/>
    <w:rsid w:val="0072294F"/>
    <w:rsid w:val="00725FEC"/>
    <w:rsid w:val="007329A6"/>
    <w:rsid w:val="00733B46"/>
    <w:rsid w:val="00734AD1"/>
    <w:rsid w:val="00736D20"/>
    <w:rsid w:val="00741B24"/>
    <w:rsid w:val="0074512B"/>
    <w:rsid w:val="00747D90"/>
    <w:rsid w:val="00757815"/>
    <w:rsid w:val="00757865"/>
    <w:rsid w:val="0076626C"/>
    <w:rsid w:val="007665A0"/>
    <w:rsid w:val="00767335"/>
    <w:rsid w:val="00772AAF"/>
    <w:rsid w:val="00773ECC"/>
    <w:rsid w:val="00774D5B"/>
    <w:rsid w:val="00775BF7"/>
    <w:rsid w:val="007803E4"/>
    <w:rsid w:val="00784EFE"/>
    <w:rsid w:val="00785E20"/>
    <w:rsid w:val="007860AE"/>
    <w:rsid w:val="00786B21"/>
    <w:rsid w:val="00787D09"/>
    <w:rsid w:val="007930ED"/>
    <w:rsid w:val="007A06C0"/>
    <w:rsid w:val="007A19F9"/>
    <w:rsid w:val="007A1D1E"/>
    <w:rsid w:val="007A20F0"/>
    <w:rsid w:val="007A396C"/>
    <w:rsid w:val="007A47DE"/>
    <w:rsid w:val="007B4B11"/>
    <w:rsid w:val="007C1D00"/>
    <w:rsid w:val="007C498C"/>
    <w:rsid w:val="007D16EC"/>
    <w:rsid w:val="007D24ED"/>
    <w:rsid w:val="007D2FA3"/>
    <w:rsid w:val="007D6149"/>
    <w:rsid w:val="007E0C87"/>
    <w:rsid w:val="007E1461"/>
    <w:rsid w:val="007E3296"/>
    <w:rsid w:val="007E3E66"/>
    <w:rsid w:val="007E5911"/>
    <w:rsid w:val="007F0857"/>
    <w:rsid w:val="007F34CE"/>
    <w:rsid w:val="007F433E"/>
    <w:rsid w:val="0080091F"/>
    <w:rsid w:val="00803C8E"/>
    <w:rsid w:val="008078ED"/>
    <w:rsid w:val="00807EFF"/>
    <w:rsid w:val="0081356C"/>
    <w:rsid w:val="008135E7"/>
    <w:rsid w:val="0081585A"/>
    <w:rsid w:val="008237FB"/>
    <w:rsid w:val="00827BD8"/>
    <w:rsid w:val="00831BD9"/>
    <w:rsid w:val="00832E46"/>
    <w:rsid w:val="00836D3B"/>
    <w:rsid w:val="00840980"/>
    <w:rsid w:val="0084167E"/>
    <w:rsid w:val="00842624"/>
    <w:rsid w:val="00843009"/>
    <w:rsid w:val="00845B0B"/>
    <w:rsid w:val="008472A2"/>
    <w:rsid w:val="008531FA"/>
    <w:rsid w:val="00855AD2"/>
    <w:rsid w:val="00856BE8"/>
    <w:rsid w:val="00886369"/>
    <w:rsid w:val="008903AD"/>
    <w:rsid w:val="0089052B"/>
    <w:rsid w:val="0089104A"/>
    <w:rsid w:val="00897AD4"/>
    <w:rsid w:val="00897B10"/>
    <w:rsid w:val="008A07FD"/>
    <w:rsid w:val="008A3465"/>
    <w:rsid w:val="008A6222"/>
    <w:rsid w:val="008A66F9"/>
    <w:rsid w:val="008B2071"/>
    <w:rsid w:val="008B232B"/>
    <w:rsid w:val="008B2866"/>
    <w:rsid w:val="008B533E"/>
    <w:rsid w:val="008B7A73"/>
    <w:rsid w:val="008C0DE1"/>
    <w:rsid w:val="008C260C"/>
    <w:rsid w:val="008C2701"/>
    <w:rsid w:val="008C55F2"/>
    <w:rsid w:val="008C5B50"/>
    <w:rsid w:val="008C6D1F"/>
    <w:rsid w:val="008D083B"/>
    <w:rsid w:val="008D0DF4"/>
    <w:rsid w:val="008D1E3F"/>
    <w:rsid w:val="008D40E9"/>
    <w:rsid w:val="008D6BE5"/>
    <w:rsid w:val="008E4F54"/>
    <w:rsid w:val="008E7547"/>
    <w:rsid w:val="008E76DC"/>
    <w:rsid w:val="008E7788"/>
    <w:rsid w:val="008E7BBA"/>
    <w:rsid w:val="008F34BD"/>
    <w:rsid w:val="008F3804"/>
    <w:rsid w:val="008F72E0"/>
    <w:rsid w:val="00901A6C"/>
    <w:rsid w:val="00902638"/>
    <w:rsid w:val="00902715"/>
    <w:rsid w:val="0090330B"/>
    <w:rsid w:val="00903360"/>
    <w:rsid w:val="009048D6"/>
    <w:rsid w:val="00906704"/>
    <w:rsid w:val="00910119"/>
    <w:rsid w:val="00910DBC"/>
    <w:rsid w:val="00912D3C"/>
    <w:rsid w:val="0091390A"/>
    <w:rsid w:val="00920B94"/>
    <w:rsid w:val="00920F75"/>
    <w:rsid w:val="009215B2"/>
    <w:rsid w:val="00926D7C"/>
    <w:rsid w:val="00931A84"/>
    <w:rsid w:val="00932190"/>
    <w:rsid w:val="00940022"/>
    <w:rsid w:val="00940167"/>
    <w:rsid w:val="00940EBA"/>
    <w:rsid w:val="00943773"/>
    <w:rsid w:val="00950209"/>
    <w:rsid w:val="0095118C"/>
    <w:rsid w:val="009529AA"/>
    <w:rsid w:val="009563A8"/>
    <w:rsid w:val="00961A3C"/>
    <w:rsid w:val="00961E79"/>
    <w:rsid w:val="00962F2C"/>
    <w:rsid w:val="00966136"/>
    <w:rsid w:val="009661CC"/>
    <w:rsid w:val="00972928"/>
    <w:rsid w:val="00974D6A"/>
    <w:rsid w:val="0097508A"/>
    <w:rsid w:val="00983EB2"/>
    <w:rsid w:val="00984118"/>
    <w:rsid w:val="0098430D"/>
    <w:rsid w:val="0098495F"/>
    <w:rsid w:val="00994094"/>
    <w:rsid w:val="009959C5"/>
    <w:rsid w:val="00996757"/>
    <w:rsid w:val="00997870"/>
    <w:rsid w:val="009A36C7"/>
    <w:rsid w:val="009A4722"/>
    <w:rsid w:val="009A62CD"/>
    <w:rsid w:val="009A6C32"/>
    <w:rsid w:val="009B081D"/>
    <w:rsid w:val="009B2907"/>
    <w:rsid w:val="009B2AF3"/>
    <w:rsid w:val="009B4EC0"/>
    <w:rsid w:val="009C0A32"/>
    <w:rsid w:val="009C0D06"/>
    <w:rsid w:val="009C10B4"/>
    <w:rsid w:val="009C16EE"/>
    <w:rsid w:val="009C2996"/>
    <w:rsid w:val="009C2A33"/>
    <w:rsid w:val="009C36EB"/>
    <w:rsid w:val="009C638B"/>
    <w:rsid w:val="009C7199"/>
    <w:rsid w:val="009D10E8"/>
    <w:rsid w:val="009D18E7"/>
    <w:rsid w:val="009D3518"/>
    <w:rsid w:val="009D3990"/>
    <w:rsid w:val="009D4341"/>
    <w:rsid w:val="009D5E21"/>
    <w:rsid w:val="009E0651"/>
    <w:rsid w:val="009E1B69"/>
    <w:rsid w:val="009E26D1"/>
    <w:rsid w:val="009E3D7A"/>
    <w:rsid w:val="009E3F8C"/>
    <w:rsid w:val="009E7C6B"/>
    <w:rsid w:val="009F12D2"/>
    <w:rsid w:val="009F14F8"/>
    <w:rsid w:val="009F1F9D"/>
    <w:rsid w:val="009F6283"/>
    <w:rsid w:val="009F7E6F"/>
    <w:rsid w:val="00A015BE"/>
    <w:rsid w:val="00A04FFA"/>
    <w:rsid w:val="00A055E7"/>
    <w:rsid w:val="00A07DEE"/>
    <w:rsid w:val="00A11B57"/>
    <w:rsid w:val="00A12D5F"/>
    <w:rsid w:val="00A131B0"/>
    <w:rsid w:val="00A2133B"/>
    <w:rsid w:val="00A2284F"/>
    <w:rsid w:val="00A229BA"/>
    <w:rsid w:val="00A2460A"/>
    <w:rsid w:val="00A271F8"/>
    <w:rsid w:val="00A31DE4"/>
    <w:rsid w:val="00A31ED4"/>
    <w:rsid w:val="00A41C45"/>
    <w:rsid w:val="00A42D01"/>
    <w:rsid w:val="00A457B5"/>
    <w:rsid w:val="00A46599"/>
    <w:rsid w:val="00A47AA1"/>
    <w:rsid w:val="00A51313"/>
    <w:rsid w:val="00A51866"/>
    <w:rsid w:val="00A51ED1"/>
    <w:rsid w:val="00A54658"/>
    <w:rsid w:val="00A55914"/>
    <w:rsid w:val="00A63D99"/>
    <w:rsid w:val="00A64792"/>
    <w:rsid w:val="00A66392"/>
    <w:rsid w:val="00A70559"/>
    <w:rsid w:val="00A71DB2"/>
    <w:rsid w:val="00A746F8"/>
    <w:rsid w:val="00A748AC"/>
    <w:rsid w:val="00A77150"/>
    <w:rsid w:val="00A77839"/>
    <w:rsid w:val="00A80A3A"/>
    <w:rsid w:val="00A80BAF"/>
    <w:rsid w:val="00A836A8"/>
    <w:rsid w:val="00A84870"/>
    <w:rsid w:val="00A8746B"/>
    <w:rsid w:val="00A90452"/>
    <w:rsid w:val="00A93EB4"/>
    <w:rsid w:val="00A975CC"/>
    <w:rsid w:val="00AA019C"/>
    <w:rsid w:val="00AA1B61"/>
    <w:rsid w:val="00AA2192"/>
    <w:rsid w:val="00AA2649"/>
    <w:rsid w:val="00AA3138"/>
    <w:rsid w:val="00AA5291"/>
    <w:rsid w:val="00AA6E46"/>
    <w:rsid w:val="00AB0BB5"/>
    <w:rsid w:val="00AB62F8"/>
    <w:rsid w:val="00AC168F"/>
    <w:rsid w:val="00AC4418"/>
    <w:rsid w:val="00AC705D"/>
    <w:rsid w:val="00AC7BF6"/>
    <w:rsid w:val="00AD04C8"/>
    <w:rsid w:val="00AD04D8"/>
    <w:rsid w:val="00AD0DF3"/>
    <w:rsid w:val="00AD2793"/>
    <w:rsid w:val="00AD2FF1"/>
    <w:rsid w:val="00AD4332"/>
    <w:rsid w:val="00AD4468"/>
    <w:rsid w:val="00AD4C51"/>
    <w:rsid w:val="00AD570E"/>
    <w:rsid w:val="00AD5F6F"/>
    <w:rsid w:val="00AE2AE8"/>
    <w:rsid w:val="00AE6FA0"/>
    <w:rsid w:val="00AF140A"/>
    <w:rsid w:val="00AF1A72"/>
    <w:rsid w:val="00B00AF7"/>
    <w:rsid w:val="00B06441"/>
    <w:rsid w:val="00B06D36"/>
    <w:rsid w:val="00B1056C"/>
    <w:rsid w:val="00B1199E"/>
    <w:rsid w:val="00B12563"/>
    <w:rsid w:val="00B14FB4"/>
    <w:rsid w:val="00B15168"/>
    <w:rsid w:val="00B21F9B"/>
    <w:rsid w:val="00B2245F"/>
    <w:rsid w:val="00B244B5"/>
    <w:rsid w:val="00B25067"/>
    <w:rsid w:val="00B25DA8"/>
    <w:rsid w:val="00B31C38"/>
    <w:rsid w:val="00B34C51"/>
    <w:rsid w:val="00B375A3"/>
    <w:rsid w:val="00B3773D"/>
    <w:rsid w:val="00B406C4"/>
    <w:rsid w:val="00B44066"/>
    <w:rsid w:val="00B46B34"/>
    <w:rsid w:val="00B52652"/>
    <w:rsid w:val="00B52BA6"/>
    <w:rsid w:val="00B52F20"/>
    <w:rsid w:val="00B54946"/>
    <w:rsid w:val="00B54D94"/>
    <w:rsid w:val="00B56C9C"/>
    <w:rsid w:val="00B64783"/>
    <w:rsid w:val="00B65427"/>
    <w:rsid w:val="00B72D2D"/>
    <w:rsid w:val="00B74B28"/>
    <w:rsid w:val="00B823EB"/>
    <w:rsid w:val="00B845DA"/>
    <w:rsid w:val="00B85EE3"/>
    <w:rsid w:val="00B865B1"/>
    <w:rsid w:val="00B86A73"/>
    <w:rsid w:val="00B87628"/>
    <w:rsid w:val="00B917AB"/>
    <w:rsid w:val="00B94667"/>
    <w:rsid w:val="00B96C9B"/>
    <w:rsid w:val="00B97318"/>
    <w:rsid w:val="00B97B4D"/>
    <w:rsid w:val="00BA69E8"/>
    <w:rsid w:val="00BC3E95"/>
    <w:rsid w:val="00BD10CE"/>
    <w:rsid w:val="00BD2DAA"/>
    <w:rsid w:val="00BD7C96"/>
    <w:rsid w:val="00BE0853"/>
    <w:rsid w:val="00BE257A"/>
    <w:rsid w:val="00BE49F2"/>
    <w:rsid w:val="00C013F7"/>
    <w:rsid w:val="00C01686"/>
    <w:rsid w:val="00C06838"/>
    <w:rsid w:val="00C07851"/>
    <w:rsid w:val="00C07E11"/>
    <w:rsid w:val="00C13133"/>
    <w:rsid w:val="00C13ABA"/>
    <w:rsid w:val="00C160AF"/>
    <w:rsid w:val="00C1710A"/>
    <w:rsid w:val="00C210EA"/>
    <w:rsid w:val="00C215F8"/>
    <w:rsid w:val="00C23DD9"/>
    <w:rsid w:val="00C25A81"/>
    <w:rsid w:val="00C3779E"/>
    <w:rsid w:val="00C4010E"/>
    <w:rsid w:val="00C416CF"/>
    <w:rsid w:val="00C42526"/>
    <w:rsid w:val="00C451C1"/>
    <w:rsid w:val="00C46109"/>
    <w:rsid w:val="00C51328"/>
    <w:rsid w:val="00C51514"/>
    <w:rsid w:val="00C5381D"/>
    <w:rsid w:val="00C53AA1"/>
    <w:rsid w:val="00C55C5B"/>
    <w:rsid w:val="00C7797B"/>
    <w:rsid w:val="00C85A2D"/>
    <w:rsid w:val="00C877F7"/>
    <w:rsid w:val="00C9275D"/>
    <w:rsid w:val="00C93BDC"/>
    <w:rsid w:val="00C944A9"/>
    <w:rsid w:val="00C966EB"/>
    <w:rsid w:val="00CA0653"/>
    <w:rsid w:val="00CA0A85"/>
    <w:rsid w:val="00CA14C9"/>
    <w:rsid w:val="00CA1588"/>
    <w:rsid w:val="00CA2140"/>
    <w:rsid w:val="00CA46FB"/>
    <w:rsid w:val="00CB0799"/>
    <w:rsid w:val="00CB15EA"/>
    <w:rsid w:val="00CB244F"/>
    <w:rsid w:val="00CB2F4D"/>
    <w:rsid w:val="00CB4334"/>
    <w:rsid w:val="00CB566B"/>
    <w:rsid w:val="00CC44FD"/>
    <w:rsid w:val="00CC4D13"/>
    <w:rsid w:val="00CD0E5B"/>
    <w:rsid w:val="00CD3D2F"/>
    <w:rsid w:val="00CD4296"/>
    <w:rsid w:val="00CD47A5"/>
    <w:rsid w:val="00CE156C"/>
    <w:rsid w:val="00CE1C21"/>
    <w:rsid w:val="00CE49DC"/>
    <w:rsid w:val="00CE705F"/>
    <w:rsid w:val="00CE7640"/>
    <w:rsid w:val="00CF34FF"/>
    <w:rsid w:val="00CF4089"/>
    <w:rsid w:val="00CF43B2"/>
    <w:rsid w:val="00CF6902"/>
    <w:rsid w:val="00D01003"/>
    <w:rsid w:val="00D019FE"/>
    <w:rsid w:val="00D01D89"/>
    <w:rsid w:val="00D05642"/>
    <w:rsid w:val="00D05C10"/>
    <w:rsid w:val="00D06660"/>
    <w:rsid w:val="00D0709B"/>
    <w:rsid w:val="00D078FC"/>
    <w:rsid w:val="00D07901"/>
    <w:rsid w:val="00D07CA2"/>
    <w:rsid w:val="00D128A2"/>
    <w:rsid w:val="00D142C1"/>
    <w:rsid w:val="00D14322"/>
    <w:rsid w:val="00D17A45"/>
    <w:rsid w:val="00D21E38"/>
    <w:rsid w:val="00D23067"/>
    <w:rsid w:val="00D2392E"/>
    <w:rsid w:val="00D318D2"/>
    <w:rsid w:val="00D3752C"/>
    <w:rsid w:val="00D3766A"/>
    <w:rsid w:val="00D41269"/>
    <w:rsid w:val="00D41BB9"/>
    <w:rsid w:val="00D436B4"/>
    <w:rsid w:val="00D47E70"/>
    <w:rsid w:val="00D554E3"/>
    <w:rsid w:val="00D56930"/>
    <w:rsid w:val="00D608F1"/>
    <w:rsid w:val="00D62618"/>
    <w:rsid w:val="00D63CA0"/>
    <w:rsid w:val="00D63F04"/>
    <w:rsid w:val="00D642B2"/>
    <w:rsid w:val="00D65AB6"/>
    <w:rsid w:val="00D72623"/>
    <w:rsid w:val="00D7270D"/>
    <w:rsid w:val="00D7477B"/>
    <w:rsid w:val="00D76FA2"/>
    <w:rsid w:val="00D775EB"/>
    <w:rsid w:val="00D80DBC"/>
    <w:rsid w:val="00D83B9B"/>
    <w:rsid w:val="00D86E23"/>
    <w:rsid w:val="00D900EE"/>
    <w:rsid w:val="00D95DAA"/>
    <w:rsid w:val="00D97ED9"/>
    <w:rsid w:val="00DA24D3"/>
    <w:rsid w:val="00DB1CAC"/>
    <w:rsid w:val="00DB2057"/>
    <w:rsid w:val="00DB2FB0"/>
    <w:rsid w:val="00DB6039"/>
    <w:rsid w:val="00DC2D16"/>
    <w:rsid w:val="00DC57B1"/>
    <w:rsid w:val="00DC7564"/>
    <w:rsid w:val="00DC7573"/>
    <w:rsid w:val="00DD312B"/>
    <w:rsid w:val="00DD333D"/>
    <w:rsid w:val="00DD6B1A"/>
    <w:rsid w:val="00DE1356"/>
    <w:rsid w:val="00DE2FD0"/>
    <w:rsid w:val="00E22F86"/>
    <w:rsid w:val="00E25A5E"/>
    <w:rsid w:val="00E30663"/>
    <w:rsid w:val="00E33A47"/>
    <w:rsid w:val="00E33C5D"/>
    <w:rsid w:val="00E35FE8"/>
    <w:rsid w:val="00E375F3"/>
    <w:rsid w:val="00E415B2"/>
    <w:rsid w:val="00E42ACC"/>
    <w:rsid w:val="00E52804"/>
    <w:rsid w:val="00E63FD3"/>
    <w:rsid w:val="00E64412"/>
    <w:rsid w:val="00E67E28"/>
    <w:rsid w:val="00E72011"/>
    <w:rsid w:val="00E748D2"/>
    <w:rsid w:val="00E74C87"/>
    <w:rsid w:val="00E80F30"/>
    <w:rsid w:val="00E83218"/>
    <w:rsid w:val="00E84BE6"/>
    <w:rsid w:val="00E8625B"/>
    <w:rsid w:val="00E91245"/>
    <w:rsid w:val="00E91839"/>
    <w:rsid w:val="00E91924"/>
    <w:rsid w:val="00E940B0"/>
    <w:rsid w:val="00E96B58"/>
    <w:rsid w:val="00EA026D"/>
    <w:rsid w:val="00EA210C"/>
    <w:rsid w:val="00EA2742"/>
    <w:rsid w:val="00EB021A"/>
    <w:rsid w:val="00EB5A89"/>
    <w:rsid w:val="00EB7E2C"/>
    <w:rsid w:val="00EC48D3"/>
    <w:rsid w:val="00EC6B8B"/>
    <w:rsid w:val="00ED7867"/>
    <w:rsid w:val="00EE04CE"/>
    <w:rsid w:val="00EE47CD"/>
    <w:rsid w:val="00EE67C2"/>
    <w:rsid w:val="00EE73D8"/>
    <w:rsid w:val="00EF1E60"/>
    <w:rsid w:val="00EF3601"/>
    <w:rsid w:val="00EF4FD3"/>
    <w:rsid w:val="00EF6498"/>
    <w:rsid w:val="00EF66EA"/>
    <w:rsid w:val="00F00F08"/>
    <w:rsid w:val="00F02F03"/>
    <w:rsid w:val="00F05146"/>
    <w:rsid w:val="00F061F1"/>
    <w:rsid w:val="00F121E1"/>
    <w:rsid w:val="00F13C9B"/>
    <w:rsid w:val="00F142C0"/>
    <w:rsid w:val="00F21134"/>
    <w:rsid w:val="00F23E17"/>
    <w:rsid w:val="00F255E1"/>
    <w:rsid w:val="00F25A4B"/>
    <w:rsid w:val="00F25E34"/>
    <w:rsid w:val="00F30BF8"/>
    <w:rsid w:val="00F364A1"/>
    <w:rsid w:val="00F40CB7"/>
    <w:rsid w:val="00F432D7"/>
    <w:rsid w:val="00F5341E"/>
    <w:rsid w:val="00F538A0"/>
    <w:rsid w:val="00F60497"/>
    <w:rsid w:val="00F62821"/>
    <w:rsid w:val="00F63AB8"/>
    <w:rsid w:val="00F7176E"/>
    <w:rsid w:val="00F74D4C"/>
    <w:rsid w:val="00F758C4"/>
    <w:rsid w:val="00F812D8"/>
    <w:rsid w:val="00F82EB0"/>
    <w:rsid w:val="00F8346D"/>
    <w:rsid w:val="00F87242"/>
    <w:rsid w:val="00F910A4"/>
    <w:rsid w:val="00F96E72"/>
    <w:rsid w:val="00FA220D"/>
    <w:rsid w:val="00FA2818"/>
    <w:rsid w:val="00FA2C6E"/>
    <w:rsid w:val="00FA2CBE"/>
    <w:rsid w:val="00FA52A0"/>
    <w:rsid w:val="00FB01B1"/>
    <w:rsid w:val="00FB4295"/>
    <w:rsid w:val="00FC0821"/>
    <w:rsid w:val="00FC6E76"/>
    <w:rsid w:val="00FC754D"/>
    <w:rsid w:val="00FD14EE"/>
    <w:rsid w:val="00FD31A8"/>
    <w:rsid w:val="00FD5AA7"/>
    <w:rsid w:val="00FD6DA9"/>
    <w:rsid w:val="00FE1F23"/>
    <w:rsid w:val="00FE568F"/>
    <w:rsid w:val="00FE6384"/>
    <w:rsid w:val="00FF3323"/>
    <w:rsid w:val="00FF394B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4E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D554E3"/>
    <w:pPr>
      <w:keepNext/>
      <w:jc w:val="both"/>
      <w:outlineLvl w:val="1"/>
    </w:pPr>
    <w:rPr>
      <w:rFonts w:ascii="Century Gothic" w:hAnsi="Century Gothic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D554E3"/>
    <w:rPr>
      <w:color w:val="0000FF"/>
      <w:u w:val="single"/>
    </w:rPr>
  </w:style>
  <w:style w:type="paragraph" w:customStyle="1" w:styleId="Car">
    <w:name w:val=" Car"/>
    <w:basedOn w:val="Normal"/>
    <w:rsid w:val="00D554E3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customStyle="1" w:styleId="CharChar1">
    <w:name w:val=" Char Char1"/>
    <w:basedOn w:val="Normal"/>
    <w:rsid w:val="00D554E3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j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Links>
    <vt:vector size="6" baseType="variant">
      <vt:variant>
        <vt:i4>8257649</vt:i4>
      </vt:variant>
      <vt:variant>
        <vt:i4>0</vt:i4>
      </vt:variant>
      <vt:variant>
        <vt:i4>0</vt:i4>
      </vt:variant>
      <vt:variant>
        <vt:i4>5</vt:i4>
      </vt:variant>
      <vt:variant>
        <vt:lpwstr>http://www.scj.cl/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psau</dc:creator>
  <cp:keywords/>
  <cp:lastModifiedBy>fjaramillo</cp:lastModifiedBy>
  <cp:revision>2</cp:revision>
  <cp:lastPrinted>2009-12-24T11:51:00Z</cp:lastPrinted>
  <dcterms:created xsi:type="dcterms:W3CDTF">2009-12-24T16:59:00Z</dcterms:created>
  <dcterms:modified xsi:type="dcterms:W3CDTF">2009-12-24T16:59:00Z</dcterms:modified>
</cp:coreProperties>
</file>